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65D8" w14:textId="7094FA2E" w:rsidR="005E4838" w:rsidRPr="00976042" w:rsidRDefault="005E4838" w:rsidP="005E4838">
      <w:pPr>
        <w:widowControl w:val="0"/>
        <w:kinsoku w:val="0"/>
        <w:overflowPunct w:val="0"/>
        <w:spacing w:before="270" w:line="320" w:lineRule="atLeast"/>
        <w:jc w:val="both"/>
        <w:textAlignment w:val="baseline"/>
        <w:rPr>
          <w:lang w:val="bs-Latn-BA" w:eastAsia="bs-Latn-BA"/>
        </w:rPr>
      </w:pPr>
      <w:r w:rsidRPr="00976042">
        <w:rPr>
          <w:lang w:val="bs-Latn-BA" w:eastAsia="bs-Latn-BA"/>
        </w:rPr>
        <w:t xml:space="preserve">Na osnovu člana 17. Zakona o Vijeću ministara Bosne i Hercegovine („Službeni glasnik BiH“, br. 30/03, 42/03, 81/06, 76/07, 81/07, 94/07 i 24/08), </w:t>
      </w:r>
      <w:r w:rsidRPr="00976042">
        <w:rPr>
          <w:bCs/>
          <w:lang w:val="bs-Latn-BA" w:eastAsia="bs-Latn-BA"/>
        </w:rPr>
        <w:t xml:space="preserve">a u vezi sa članom 3. </w:t>
      </w:r>
      <w:r w:rsidRPr="00976042">
        <w:rPr>
          <w:lang w:val="bs-Latn-BA" w:eastAsia="bs-Latn-BA"/>
        </w:rPr>
        <w:t xml:space="preserve">Odluke o usvajanju Politike softvera u institucijama Bosne i Hercegovine („Službeni glasnik  BiH“, broj 88/07), na prijedlog Ministarstva komunikacija i prometa Bosne i Hercegovine, Vijeće ministara Bosne i Hercegovine na 9. sjednici, održanoj 18. juna 2020. godine i </w:t>
      </w:r>
      <w:r w:rsidR="00D26CFD" w:rsidRPr="00976042">
        <w:rPr>
          <w:lang w:val="bs-Latn-BA" w:eastAsia="bs-Latn-BA"/>
        </w:rPr>
        <w:t>na 3. sjednici, održanoj 23. februara 2023. godine</w:t>
      </w:r>
      <w:r w:rsidRPr="00976042">
        <w:rPr>
          <w:lang w:val="bs-Latn-BA" w:eastAsia="bs-Latn-BA"/>
        </w:rPr>
        <w:t>, donijelo je</w:t>
      </w:r>
    </w:p>
    <w:p w14:paraId="7D54F046" w14:textId="77777777" w:rsidR="005E4838" w:rsidRPr="00976042" w:rsidRDefault="005E4838" w:rsidP="005E4838">
      <w:pPr>
        <w:widowControl w:val="0"/>
        <w:kinsoku w:val="0"/>
        <w:overflowPunct w:val="0"/>
        <w:spacing w:before="270" w:line="320" w:lineRule="atLeast"/>
        <w:jc w:val="both"/>
        <w:textAlignment w:val="baseline"/>
        <w:rPr>
          <w:lang w:val="bs-Latn-BA" w:eastAsia="bs-Latn-BA"/>
        </w:rPr>
      </w:pPr>
    </w:p>
    <w:p w14:paraId="3E92A158" w14:textId="77777777" w:rsidR="005E4838" w:rsidRPr="00976042" w:rsidRDefault="005E4838" w:rsidP="005E4838">
      <w:pPr>
        <w:autoSpaceDE w:val="0"/>
        <w:autoSpaceDN w:val="0"/>
        <w:adjustRightInd w:val="0"/>
        <w:jc w:val="center"/>
        <w:rPr>
          <w:b/>
          <w:bCs/>
          <w:color w:val="0C0C0E"/>
          <w:lang w:val="bs-Latn-BA"/>
        </w:rPr>
      </w:pPr>
    </w:p>
    <w:p w14:paraId="1A4486CF" w14:textId="77777777" w:rsidR="005E4838" w:rsidRPr="00976042" w:rsidRDefault="005E4838" w:rsidP="005E4838">
      <w:pPr>
        <w:autoSpaceDE w:val="0"/>
        <w:autoSpaceDN w:val="0"/>
        <w:adjustRightInd w:val="0"/>
        <w:jc w:val="center"/>
        <w:rPr>
          <w:b/>
          <w:bCs/>
          <w:color w:val="0C0C0E"/>
          <w:lang w:val="bs-Latn-BA"/>
        </w:rPr>
      </w:pPr>
      <w:r w:rsidRPr="00976042">
        <w:rPr>
          <w:b/>
          <w:bCs/>
          <w:color w:val="0C0C0E"/>
          <w:lang w:val="bs-Latn-BA"/>
        </w:rPr>
        <w:t>O D L U K U</w:t>
      </w:r>
    </w:p>
    <w:p w14:paraId="51F484DF" w14:textId="77777777" w:rsidR="005E4838" w:rsidRPr="00976042" w:rsidRDefault="005E4838" w:rsidP="005E4838">
      <w:pPr>
        <w:jc w:val="center"/>
        <w:rPr>
          <w:b/>
          <w:lang w:val="bs-Latn-BA"/>
        </w:rPr>
      </w:pPr>
      <w:r w:rsidRPr="00976042">
        <w:rPr>
          <w:b/>
          <w:bCs/>
          <w:color w:val="0C0C0E"/>
          <w:lang w:val="bs-Latn-BA"/>
        </w:rPr>
        <w:t xml:space="preserve">O USVAJANJU  DOKUMENTA  O </w:t>
      </w:r>
      <w:r w:rsidRPr="00976042">
        <w:rPr>
          <w:b/>
          <w:lang w:val="bs-Latn-BA"/>
        </w:rPr>
        <w:t xml:space="preserve">TEHNIČKO-TEHNOLOŠKOM I SOFTVERSKOM STANDARDU ZA RADNU STANICU </w:t>
      </w:r>
    </w:p>
    <w:p w14:paraId="2C9A3867" w14:textId="77777777" w:rsidR="005E4838" w:rsidRPr="00976042" w:rsidRDefault="005E4838" w:rsidP="005E4838">
      <w:pPr>
        <w:autoSpaceDE w:val="0"/>
        <w:autoSpaceDN w:val="0"/>
        <w:adjustRightInd w:val="0"/>
        <w:jc w:val="center"/>
        <w:rPr>
          <w:b/>
          <w:bCs/>
          <w:color w:val="0C0C0E"/>
          <w:lang w:val="bs-Latn-BA"/>
        </w:rPr>
      </w:pPr>
      <w:r w:rsidRPr="00976042">
        <w:rPr>
          <w:b/>
          <w:bCs/>
          <w:color w:val="0C0C0E"/>
          <w:lang w:val="bs-Latn-BA"/>
        </w:rPr>
        <w:t>U INSTITUCIJAMA BOSNE I HERCEGOVINE</w:t>
      </w:r>
    </w:p>
    <w:p w14:paraId="337295A5" w14:textId="77777777" w:rsidR="005E4838" w:rsidRPr="00976042" w:rsidRDefault="005E4838" w:rsidP="005E4838">
      <w:pPr>
        <w:autoSpaceDE w:val="0"/>
        <w:autoSpaceDN w:val="0"/>
        <w:adjustRightInd w:val="0"/>
        <w:jc w:val="center"/>
        <w:rPr>
          <w:b/>
          <w:bCs/>
          <w:color w:val="0C0C0E"/>
          <w:lang w:val="bs-Latn-BA"/>
        </w:rPr>
      </w:pPr>
    </w:p>
    <w:p w14:paraId="4DE3A6B2" w14:textId="77777777" w:rsidR="005E4838" w:rsidRPr="00976042" w:rsidRDefault="005E4838" w:rsidP="005E4838">
      <w:pPr>
        <w:autoSpaceDE w:val="0"/>
        <w:autoSpaceDN w:val="0"/>
        <w:adjustRightInd w:val="0"/>
        <w:jc w:val="center"/>
        <w:rPr>
          <w:b/>
          <w:bCs/>
          <w:color w:val="0C0C0E"/>
          <w:lang w:val="bs-Latn-BA"/>
        </w:rPr>
      </w:pPr>
    </w:p>
    <w:p w14:paraId="317EC6A4" w14:textId="77777777" w:rsidR="005E4838" w:rsidRPr="00976042" w:rsidRDefault="005E4838" w:rsidP="005E4838">
      <w:pPr>
        <w:autoSpaceDE w:val="0"/>
        <w:autoSpaceDN w:val="0"/>
        <w:adjustRightInd w:val="0"/>
        <w:jc w:val="center"/>
        <w:rPr>
          <w:b/>
          <w:color w:val="0C0C0E"/>
          <w:lang w:val="bs-Latn-BA"/>
        </w:rPr>
      </w:pPr>
      <w:r w:rsidRPr="00976042">
        <w:rPr>
          <w:b/>
          <w:color w:val="0C0C0E"/>
          <w:lang w:val="bs-Latn-BA"/>
        </w:rPr>
        <w:t>Član 1.</w:t>
      </w:r>
    </w:p>
    <w:p w14:paraId="67976275" w14:textId="77777777" w:rsidR="005E4838" w:rsidRPr="00976042" w:rsidRDefault="005E4838" w:rsidP="005E4838">
      <w:pPr>
        <w:autoSpaceDE w:val="0"/>
        <w:autoSpaceDN w:val="0"/>
        <w:adjustRightInd w:val="0"/>
        <w:jc w:val="center"/>
        <w:rPr>
          <w:b/>
          <w:bCs/>
          <w:color w:val="0C0C0E"/>
          <w:lang w:val="bs-Latn-BA"/>
        </w:rPr>
      </w:pPr>
      <w:r w:rsidRPr="00976042">
        <w:rPr>
          <w:b/>
          <w:bCs/>
          <w:color w:val="0C0C0E"/>
          <w:lang w:val="bs-Latn-BA"/>
        </w:rPr>
        <w:t>(Predmet Odluke)</w:t>
      </w:r>
    </w:p>
    <w:p w14:paraId="35A91D63" w14:textId="77777777" w:rsidR="005E4838" w:rsidRPr="00976042" w:rsidRDefault="005E4838" w:rsidP="005E4838">
      <w:pPr>
        <w:autoSpaceDE w:val="0"/>
        <w:autoSpaceDN w:val="0"/>
        <w:adjustRightInd w:val="0"/>
        <w:jc w:val="center"/>
        <w:rPr>
          <w:b/>
          <w:bCs/>
          <w:color w:val="0C0C0E"/>
          <w:lang w:val="bs-Latn-BA"/>
        </w:rPr>
      </w:pPr>
    </w:p>
    <w:p w14:paraId="33D9349C" w14:textId="35228D14" w:rsidR="005E4838" w:rsidRPr="00976042" w:rsidRDefault="005E4838" w:rsidP="005E4838">
      <w:pPr>
        <w:autoSpaceDE w:val="0"/>
        <w:autoSpaceDN w:val="0"/>
        <w:adjustRightInd w:val="0"/>
        <w:jc w:val="both"/>
        <w:rPr>
          <w:color w:val="0C0C0E"/>
          <w:lang w:val="bs-Latn-BA"/>
        </w:rPr>
      </w:pPr>
      <w:r w:rsidRPr="00976042">
        <w:rPr>
          <w:color w:val="0C0C0E"/>
          <w:lang w:val="bs-Latn-BA"/>
        </w:rPr>
        <w:t>Ovom Odlukom usvaja se Dokument o tehničko</w:t>
      </w:r>
      <w:r w:rsidRPr="00976042">
        <w:rPr>
          <w:b/>
          <w:color w:val="0C0C0E"/>
          <w:lang w:val="bs-Latn-BA"/>
        </w:rPr>
        <w:t>-</w:t>
      </w:r>
      <w:r w:rsidRPr="00976042">
        <w:rPr>
          <w:color w:val="0C0C0E"/>
          <w:lang w:val="bs-Latn-BA"/>
        </w:rPr>
        <w:t>tehnološkom i softverskom standardu za radnu stanicu u institucijama Bosne i Hercegovine (u daljem tekstu: Dokument),</w:t>
      </w:r>
      <w:r w:rsidRPr="00976042">
        <w:rPr>
          <w:lang w:val="bs-Latn-BA" w:eastAsia="hr-HR"/>
        </w:rPr>
        <w:t xml:space="preserve"> koji je sastavni dio ove </w:t>
      </w:r>
      <w:r w:rsidR="003329E2" w:rsidRPr="00976042">
        <w:rPr>
          <w:lang w:val="bs-Latn-BA" w:eastAsia="hr-HR"/>
        </w:rPr>
        <w:t>o</w:t>
      </w:r>
      <w:r w:rsidRPr="00976042">
        <w:rPr>
          <w:lang w:val="bs-Latn-BA" w:eastAsia="hr-HR"/>
        </w:rPr>
        <w:t>dluke</w:t>
      </w:r>
      <w:r w:rsidRPr="00976042">
        <w:rPr>
          <w:color w:val="0C0C0E"/>
          <w:lang w:val="bs-Latn-BA"/>
        </w:rPr>
        <w:t>.</w:t>
      </w:r>
    </w:p>
    <w:p w14:paraId="2EC40FC0" w14:textId="77777777" w:rsidR="005E4838" w:rsidRPr="00976042" w:rsidRDefault="005E4838" w:rsidP="005E4838">
      <w:pPr>
        <w:autoSpaceDE w:val="0"/>
        <w:autoSpaceDN w:val="0"/>
        <w:adjustRightInd w:val="0"/>
        <w:jc w:val="both"/>
        <w:rPr>
          <w:color w:val="0C0C0E"/>
          <w:lang w:val="bs-Latn-BA"/>
        </w:rPr>
      </w:pPr>
    </w:p>
    <w:p w14:paraId="329D12BD" w14:textId="77777777" w:rsidR="005E4838" w:rsidRPr="00976042" w:rsidRDefault="005E4838" w:rsidP="005E4838">
      <w:pPr>
        <w:autoSpaceDE w:val="0"/>
        <w:autoSpaceDN w:val="0"/>
        <w:adjustRightInd w:val="0"/>
        <w:jc w:val="center"/>
        <w:rPr>
          <w:b/>
          <w:color w:val="0C0C0E"/>
          <w:lang w:val="bs-Latn-BA"/>
        </w:rPr>
      </w:pPr>
      <w:r w:rsidRPr="00976042">
        <w:rPr>
          <w:b/>
          <w:color w:val="0C0C0E"/>
          <w:lang w:val="bs-Latn-BA"/>
        </w:rPr>
        <w:t>Član 2.</w:t>
      </w:r>
    </w:p>
    <w:p w14:paraId="4EE4BC45" w14:textId="77777777" w:rsidR="005E4838" w:rsidRPr="00976042" w:rsidRDefault="005E4838" w:rsidP="005E4838">
      <w:pPr>
        <w:autoSpaceDE w:val="0"/>
        <w:autoSpaceDN w:val="0"/>
        <w:adjustRightInd w:val="0"/>
        <w:jc w:val="center"/>
        <w:rPr>
          <w:b/>
          <w:bCs/>
          <w:color w:val="0C0C0E"/>
          <w:lang w:val="bs-Latn-BA"/>
        </w:rPr>
      </w:pPr>
      <w:r w:rsidRPr="00976042">
        <w:rPr>
          <w:b/>
          <w:bCs/>
          <w:color w:val="0C0C0E"/>
          <w:lang w:val="bs-Latn-BA"/>
        </w:rPr>
        <w:t>(Djelokrug primjene)</w:t>
      </w:r>
    </w:p>
    <w:p w14:paraId="38177437" w14:textId="77777777" w:rsidR="005E4838" w:rsidRPr="00976042" w:rsidRDefault="005E4838" w:rsidP="005E4838">
      <w:pPr>
        <w:autoSpaceDE w:val="0"/>
        <w:autoSpaceDN w:val="0"/>
        <w:adjustRightInd w:val="0"/>
        <w:jc w:val="center"/>
        <w:rPr>
          <w:b/>
          <w:bCs/>
          <w:color w:val="0C0C0E"/>
          <w:lang w:val="bs-Latn-BA"/>
        </w:rPr>
      </w:pPr>
    </w:p>
    <w:p w14:paraId="76D230F4" w14:textId="77777777" w:rsidR="005E4838" w:rsidRPr="00976042" w:rsidRDefault="005E4838" w:rsidP="005E4838">
      <w:pPr>
        <w:autoSpaceDE w:val="0"/>
        <w:autoSpaceDN w:val="0"/>
        <w:adjustRightInd w:val="0"/>
        <w:jc w:val="both"/>
        <w:rPr>
          <w:color w:val="0C0C0E"/>
          <w:lang w:val="bs-Latn-BA"/>
        </w:rPr>
      </w:pPr>
      <w:r w:rsidRPr="00976042">
        <w:rPr>
          <w:color w:val="0C0C0E"/>
          <w:lang w:val="bs-Latn-BA"/>
        </w:rPr>
        <w:t>Dokument iz člana 1. ove Odluke  primjenjuje se u svim institucijama Bosne i Hercegovine.</w:t>
      </w:r>
    </w:p>
    <w:p w14:paraId="114AEBB4" w14:textId="77777777" w:rsidR="00E41D35" w:rsidRPr="00976042" w:rsidRDefault="00E41D35" w:rsidP="005E4838">
      <w:pPr>
        <w:autoSpaceDE w:val="0"/>
        <w:autoSpaceDN w:val="0"/>
        <w:adjustRightInd w:val="0"/>
        <w:jc w:val="both"/>
        <w:rPr>
          <w:color w:val="0C0C0E"/>
          <w:lang w:val="bs-Latn-BA"/>
        </w:rPr>
      </w:pPr>
    </w:p>
    <w:p w14:paraId="18A27D33" w14:textId="1404D7BE" w:rsidR="00E41D35" w:rsidRPr="00976042" w:rsidRDefault="00E41D35" w:rsidP="00E41D35">
      <w:pPr>
        <w:autoSpaceDE w:val="0"/>
        <w:autoSpaceDN w:val="0"/>
        <w:adjustRightInd w:val="0"/>
        <w:jc w:val="center"/>
        <w:rPr>
          <w:b/>
          <w:color w:val="0C0C0E"/>
          <w:lang w:val="bs-Latn-BA"/>
        </w:rPr>
      </w:pPr>
      <w:r w:rsidRPr="00976042">
        <w:rPr>
          <w:b/>
          <w:color w:val="0C0C0E"/>
          <w:lang w:val="bs-Latn-BA"/>
        </w:rPr>
        <w:t>Član 3.</w:t>
      </w:r>
    </w:p>
    <w:p w14:paraId="2CA9D815" w14:textId="2483CF82" w:rsidR="00E41D35" w:rsidRPr="00976042" w:rsidRDefault="00E41D35" w:rsidP="00E41D35">
      <w:pPr>
        <w:autoSpaceDE w:val="0"/>
        <w:autoSpaceDN w:val="0"/>
        <w:adjustRightInd w:val="0"/>
        <w:jc w:val="center"/>
        <w:rPr>
          <w:b/>
          <w:bCs/>
          <w:color w:val="0C0C0E"/>
          <w:lang w:val="bs-Latn-BA"/>
        </w:rPr>
      </w:pPr>
      <w:r w:rsidRPr="00976042">
        <w:rPr>
          <w:b/>
          <w:bCs/>
          <w:color w:val="0C0C0E"/>
          <w:lang w:val="bs-Latn-BA"/>
        </w:rPr>
        <w:t>(Prestana</w:t>
      </w:r>
      <w:r w:rsidR="005A470B" w:rsidRPr="00976042">
        <w:rPr>
          <w:b/>
          <w:bCs/>
          <w:color w:val="0C0C0E"/>
          <w:lang w:val="bs-Latn-BA"/>
        </w:rPr>
        <w:t>k važenja</w:t>
      </w:r>
      <w:r w:rsidRPr="00976042">
        <w:rPr>
          <w:b/>
          <w:bCs/>
          <w:color w:val="0C0C0E"/>
          <w:lang w:val="bs-Latn-BA"/>
        </w:rPr>
        <w:t>)</w:t>
      </w:r>
    </w:p>
    <w:p w14:paraId="0AD36D35" w14:textId="77777777" w:rsidR="00E41D35" w:rsidRPr="00976042" w:rsidRDefault="00E41D35" w:rsidP="00E41D35">
      <w:pPr>
        <w:autoSpaceDE w:val="0"/>
        <w:autoSpaceDN w:val="0"/>
        <w:adjustRightInd w:val="0"/>
        <w:jc w:val="center"/>
        <w:rPr>
          <w:b/>
          <w:bCs/>
          <w:color w:val="0C0C0E"/>
          <w:lang w:val="bs-Latn-BA"/>
        </w:rPr>
      </w:pPr>
    </w:p>
    <w:p w14:paraId="6C1139FB" w14:textId="7967135B" w:rsidR="00E41D35" w:rsidRPr="00976042" w:rsidRDefault="005A470B" w:rsidP="00E41D35">
      <w:pPr>
        <w:autoSpaceDE w:val="0"/>
        <w:autoSpaceDN w:val="0"/>
        <w:adjustRightInd w:val="0"/>
        <w:jc w:val="both"/>
        <w:rPr>
          <w:color w:val="0C0C0E"/>
          <w:lang w:val="bs-Latn-BA"/>
        </w:rPr>
      </w:pPr>
      <w:r w:rsidRPr="00976042">
        <w:rPr>
          <w:color w:val="0C0C0E"/>
          <w:lang w:val="bs-Latn-BA"/>
        </w:rPr>
        <w:t xml:space="preserve">Stupanjem na snagu ove </w:t>
      </w:r>
      <w:r w:rsidR="00E5598E" w:rsidRPr="00976042">
        <w:rPr>
          <w:color w:val="0C0C0E"/>
          <w:lang w:val="bs-Latn-BA"/>
        </w:rPr>
        <w:t>odluke prestaje da važi Odluka o usvajanju Dokument</w:t>
      </w:r>
      <w:r w:rsidR="007D0DA9" w:rsidRPr="00976042">
        <w:rPr>
          <w:color w:val="0C0C0E"/>
          <w:lang w:val="bs-Latn-BA"/>
        </w:rPr>
        <w:t>a</w:t>
      </w:r>
      <w:r w:rsidR="00E5598E" w:rsidRPr="00976042">
        <w:rPr>
          <w:color w:val="0C0C0E"/>
          <w:lang w:val="bs-Latn-BA"/>
        </w:rPr>
        <w:t xml:space="preserve"> o tehničko</w:t>
      </w:r>
      <w:r w:rsidR="00E5598E" w:rsidRPr="00976042">
        <w:rPr>
          <w:b/>
          <w:color w:val="0C0C0E"/>
          <w:lang w:val="bs-Latn-BA"/>
        </w:rPr>
        <w:t>-</w:t>
      </w:r>
      <w:r w:rsidR="00E5598E" w:rsidRPr="00976042">
        <w:rPr>
          <w:color w:val="0C0C0E"/>
          <w:lang w:val="bs-Latn-BA"/>
        </w:rPr>
        <w:t>tehnološkom i softverskom standardu za radnu stanicu u institucijama Bosne i Hercegovine</w:t>
      </w:r>
      <w:r w:rsidR="007D0DA9" w:rsidRPr="00976042">
        <w:rPr>
          <w:lang w:val="bs-Latn-BA" w:eastAsia="bs-Latn-BA"/>
        </w:rPr>
        <w:t xml:space="preserve">(„Službeni glasnik  BiH“, broj </w:t>
      </w:r>
      <w:r w:rsidR="00A3638C" w:rsidRPr="00976042">
        <w:rPr>
          <w:lang w:val="bs-Latn-BA" w:eastAsia="bs-Latn-BA"/>
        </w:rPr>
        <w:t>27</w:t>
      </w:r>
      <w:r w:rsidR="007D0DA9" w:rsidRPr="00976042">
        <w:rPr>
          <w:lang w:val="bs-Latn-BA" w:eastAsia="bs-Latn-BA"/>
        </w:rPr>
        <w:t>/</w:t>
      </w:r>
      <w:r w:rsidR="00A3638C" w:rsidRPr="00976042">
        <w:rPr>
          <w:lang w:val="bs-Latn-BA" w:eastAsia="bs-Latn-BA"/>
        </w:rPr>
        <w:t>14</w:t>
      </w:r>
      <w:r w:rsidR="007D0DA9" w:rsidRPr="00976042">
        <w:rPr>
          <w:lang w:val="bs-Latn-BA" w:eastAsia="bs-Latn-BA"/>
        </w:rPr>
        <w:t>)</w:t>
      </w:r>
      <w:r w:rsidR="007C4645" w:rsidRPr="00976042">
        <w:rPr>
          <w:lang w:val="bs-Latn-BA" w:eastAsia="bs-Latn-BA"/>
        </w:rPr>
        <w:t>.</w:t>
      </w:r>
    </w:p>
    <w:p w14:paraId="78ACEBB6" w14:textId="77777777" w:rsidR="005E4838" w:rsidRPr="00976042" w:rsidRDefault="005E4838" w:rsidP="005E4838">
      <w:pPr>
        <w:autoSpaceDE w:val="0"/>
        <w:autoSpaceDN w:val="0"/>
        <w:adjustRightInd w:val="0"/>
        <w:rPr>
          <w:color w:val="0C0C0E"/>
          <w:lang w:val="bs-Latn-BA"/>
        </w:rPr>
      </w:pPr>
    </w:p>
    <w:p w14:paraId="1CDB94B0" w14:textId="08F4A7F5" w:rsidR="005E4838" w:rsidRPr="00976042" w:rsidRDefault="005E4838" w:rsidP="005E4838">
      <w:pPr>
        <w:autoSpaceDE w:val="0"/>
        <w:autoSpaceDN w:val="0"/>
        <w:adjustRightInd w:val="0"/>
        <w:jc w:val="center"/>
        <w:rPr>
          <w:b/>
          <w:color w:val="0C0C0E"/>
          <w:lang w:val="bs-Latn-BA"/>
        </w:rPr>
      </w:pPr>
      <w:r w:rsidRPr="00976042">
        <w:rPr>
          <w:b/>
          <w:color w:val="0C0C0E"/>
          <w:lang w:val="bs-Latn-BA"/>
        </w:rPr>
        <w:t xml:space="preserve">Član </w:t>
      </w:r>
      <w:r w:rsidR="00E41D35" w:rsidRPr="00976042">
        <w:rPr>
          <w:b/>
          <w:color w:val="0C0C0E"/>
          <w:lang w:val="bs-Latn-BA"/>
        </w:rPr>
        <w:t>4</w:t>
      </w:r>
      <w:r w:rsidRPr="00976042">
        <w:rPr>
          <w:b/>
          <w:color w:val="0C0C0E"/>
          <w:lang w:val="bs-Latn-BA"/>
        </w:rPr>
        <w:t>.</w:t>
      </w:r>
    </w:p>
    <w:p w14:paraId="2EE3E93F" w14:textId="77777777" w:rsidR="005E4838" w:rsidRPr="00976042" w:rsidRDefault="005E4838" w:rsidP="005E4838">
      <w:pPr>
        <w:autoSpaceDE w:val="0"/>
        <w:autoSpaceDN w:val="0"/>
        <w:adjustRightInd w:val="0"/>
        <w:jc w:val="center"/>
        <w:rPr>
          <w:b/>
          <w:bCs/>
          <w:color w:val="0C0C0E"/>
          <w:lang w:val="bs-Latn-BA"/>
        </w:rPr>
      </w:pPr>
      <w:r w:rsidRPr="00976042">
        <w:rPr>
          <w:b/>
          <w:bCs/>
          <w:color w:val="0C0C0E"/>
          <w:lang w:val="bs-Latn-BA"/>
        </w:rPr>
        <w:t>(Stupanje na snagu)</w:t>
      </w:r>
    </w:p>
    <w:p w14:paraId="2C4E6314" w14:textId="511DD199" w:rsidR="005E4838" w:rsidRPr="00976042" w:rsidRDefault="005E4838" w:rsidP="00A077CC">
      <w:pPr>
        <w:widowControl w:val="0"/>
        <w:kinsoku w:val="0"/>
        <w:overflowPunct w:val="0"/>
        <w:spacing w:before="269" w:line="320" w:lineRule="atLeast"/>
        <w:rPr>
          <w:spacing w:val="4"/>
          <w:lang w:val="bs-Latn-BA" w:eastAsia="bs-Latn-BA"/>
        </w:rPr>
      </w:pPr>
      <w:r w:rsidRPr="00976042">
        <w:rPr>
          <w:spacing w:val="4"/>
          <w:lang w:val="bs-Latn-BA" w:eastAsia="bs-Latn-BA"/>
        </w:rPr>
        <w:t>Odluka stupa na snagu dan</w:t>
      </w:r>
      <w:r w:rsidR="00AA12A6" w:rsidRPr="00976042">
        <w:rPr>
          <w:spacing w:val="4"/>
          <w:lang w:val="bs-Latn-BA" w:eastAsia="bs-Latn-BA"/>
        </w:rPr>
        <w:t>om donošenja</w:t>
      </w:r>
      <w:r w:rsidR="00E41D35" w:rsidRPr="00976042">
        <w:rPr>
          <w:spacing w:val="4"/>
          <w:lang w:val="bs-Latn-BA" w:eastAsia="bs-Latn-BA"/>
        </w:rPr>
        <w:t xml:space="preserve"> i objavljuje se</w:t>
      </w:r>
      <w:r w:rsidRPr="00976042">
        <w:rPr>
          <w:spacing w:val="4"/>
          <w:lang w:val="bs-Latn-BA" w:eastAsia="bs-Latn-BA"/>
        </w:rPr>
        <w:t xml:space="preserve"> u „Službenom glasniku</w:t>
      </w:r>
      <w:r w:rsidR="00A077CC" w:rsidRPr="00976042">
        <w:rPr>
          <w:spacing w:val="4"/>
          <w:lang w:val="bs-Latn-BA" w:eastAsia="bs-Latn-BA"/>
        </w:rPr>
        <w:t xml:space="preserve"> </w:t>
      </w:r>
      <w:r w:rsidRPr="00976042">
        <w:rPr>
          <w:spacing w:val="-2"/>
          <w:lang w:val="bs-Latn-BA" w:eastAsia="bs-Latn-BA"/>
        </w:rPr>
        <w:t>BiH“.</w:t>
      </w:r>
    </w:p>
    <w:p w14:paraId="563BD101" w14:textId="77777777" w:rsidR="005E4838" w:rsidRPr="00976042" w:rsidRDefault="005E4838" w:rsidP="005E4838">
      <w:pPr>
        <w:autoSpaceDE w:val="0"/>
        <w:autoSpaceDN w:val="0"/>
        <w:adjustRightInd w:val="0"/>
        <w:rPr>
          <w:color w:val="0C0C0E"/>
          <w:lang w:val="bs-Latn-BA"/>
        </w:rPr>
      </w:pPr>
    </w:p>
    <w:p w14:paraId="4FCDEBEE" w14:textId="77777777" w:rsidR="005E4838" w:rsidRPr="00976042" w:rsidRDefault="005E4838" w:rsidP="005E4838">
      <w:pPr>
        <w:autoSpaceDE w:val="0"/>
        <w:autoSpaceDN w:val="0"/>
        <w:adjustRightInd w:val="0"/>
        <w:rPr>
          <w:color w:val="0C0C0E"/>
          <w:lang w:val="bs-Latn-BA"/>
        </w:rPr>
      </w:pPr>
      <w:r w:rsidRPr="00976042">
        <w:rPr>
          <w:color w:val="0C0C0E"/>
          <w:lang w:val="bs-Latn-BA"/>
        </w:rPr>
        <w:t xml:space="preserve"> </w:t>
      </w:r>
    </w:p>
    <w:p w14:paraId="31C22690" w14:textId="77777777" w:rsidR="005E4838" w:rsidRPr="00976042" w:rsidRDefault="005E4838" w:rsidP="005E4838">
      <w:pPr>
        <w:autoSpaceDE w:val="0"/>
        <w:autoSpaceDN w:val="0"/>
        <w:adjustRightInd w:val="0"/>
        <w:rPr>
          <w:color w:val="0C0C0E"/>
          <w:lang w:val="bs-Latn-BA"/>
        </w:rPr>
      </w:pPr>
    </w:p>
    <w:p w14:paraId="004E2A2C" w14:textId="6B8F6894" w:rsidR="005E4838" w:rsidRPr="00976042" w:rsidRDefault="005E4838" w:rsidP="005E4838">
      <w:pPr>
        <w:autoSpaceDE w:val="0"/>
        <w:autoSpaceDN w:val="0"/>
        <w:adjustRightInd w:val="0"/>
        <w:rPr>
          <w:bCs/>
          <w:color w:val="0C0C0E"/>
          <w:lang w:val="bs-Latn-BA"/>
        </w:rPr>
      </w:pPr>
      <w:r w:rsidRPr="00976042">
        <w:rPr>
          <w:bCs/>
          <w:color w:val="0C0C0E"/>
          <w:lang w:val="bs-Latn-BA"/>
        </w:rPr>
        <w:t xml:space="preserve">VM broj  </w:t>
      </w:r>
      <w:r w:rsidR="00A077CC" w:rsidRPr="00976042">
        <w:rPr>
          <w:bCs/>
          <w:color w:val="0C0C0E"/>
          <w:lang w:val="bs-Latn-BA"/>
        </w:rPr>
        <w:t>132</w:t>
      </w:r>
      <w:r w:rsidRPr="00976042">
        <w:rPr>
          <w:bCs/>
          <w:color w:val="0C0C0E"/>
          <w:lang w:val="bs-Latn-BA"/>
        </w:rPr>
        <w:t>/</w:t>
      </w:r>
      <w:r w:rsidR="00A077CC" w:rsidRPr="00976042">
        <w:rPr>
          <w:bCs/>
          <w:color w:val="0C0C0E"/>
          <w:lang w:val="bs-Latn-BA"/>
        </w:rPr>
        <w:t>20</w:t>
      </w:r>
    </w:p>
    <w:p w14:paraId="0E963DD5" w14:textId="274AB26F" w:rsidR="00B9463E" w:rsidRPr="00976042" w:rsidRDefault="00A077CC" w:rsidP="005E4838">
      <w:pPr>
        <w:autoSpaceDE w:val="0"/>
        <w:autoSpaceDN w:val="0"/>
        <w:adjustRightInd w:val="0"/>
        <w:rPr>
          <w:bCs/>
          <w:color w:val="0C0C0E"/>
          <w:lang w:val="bs-Latn-BA"/>
        </w:rPr>
      </w:pPr>
      <w:r w:rsidRPr="00976042">
        <w:rPr>
          <w:bCs/>
          <w:color w:val="0C0C0E"/>
          <w:lang w:val="bs-Latn-BA"/>
        </w:rPr>
        <w:t>18. jun</w:t>
      </w:r>
      <w:r w:rsidR="00B9463E" w:rsidRPr="00976042">
        <w:rPr>
          <w:bCs/>
          <w:color w:val="0C0C0E"/>
          <w:lang w:val="bs-Latn-BA"/>
        </w:rPr>
        <w:t xml:space="preserve">a </w:t>
      </w:r>
      <w:r w:rsidR="005E4838" w:rsidRPr="00976042">
        <w:rPr>
          <w:bCs/>
          <w:color w:val="0C0C0E"/>
          <w:lang w:val="bs-Latn-BA"/>
        </w:rPr>
        <w:t>20</w:t>
      </w:r>
      <w:r w:rsidR="00B9463E" w:rsidRPr="00976042">
        <w:rPr>
          <w:bCs/>
          <w:color w:val="0C0C0E"/>
          <w:lang w:val="bs-Latn-BA"/>
        </w:rPr>
        <w:t>20</w:t>
      </w:r>
      <w:r w:rsidR="005E4838" w:rsidRPr="00976042">
        <w:rPr>
          <w:bCs/>
          <w:color w:val="0C0C0E"/>
          <w:lang w:val="bs-Latn-BA"/>
        </w:rPr>
        <w:t>. godin</w:t>
      </w:r>
      <w:r w:rsidR="00B9463E" w:rsidRPr="00976042">
        <w:rPr>
          <w:bCs/>
          <w:color w:val="0C0C0E"/>
          <w:lang w:val="bs-Latn-BA"/>
        </w:rPr>
        <w:t>e</w:t>
      </w:r>
    </w:p>
    <w:p w14:paraId="74497C9C" w14:textId="6C83D30D" w:rsidR="00B9463E" w:rsidRPr="00976042" w:rsidRDefault="002B5511" w:rsidP="00B9463E">
      <w:pPr>
        <w:autoSpaceDE w:val="0"/>
        <w:autoSpaceDN w:val="0"/>
        <w:adjustRightInd w:val="0"/>
        <w:jc w:val="both"/>
        <w:rPr>
          <w:bCs/>
          <w:color w:val="0C0C0E"/>
          <w:lang w:val="bs-Latn-BA"/>
        </w:rPr>
      </w:pPr>
      <w:r w:rsidRPr="00976042">
        <w:rPr>
          <w:b/>
          <w:color w:val="0C0C0E"/>
          <w:lang w:val="bs-Latn-BA"/>
        </w:rPr>
        <w:t xml:space="preserve">      </w:t>
      </w:r>
      <w:r w:rsidR="005E4838" w:rsidRPr="00976042">
        <w:rPr>
          <w:bCs/>
          <w:color w:val="0C0C0E"/>
          <w:lang w:val="bs-Latn-BA"/>
        </w:rPr>
        <w:t>Sarajevo</w:t>
      </w:r>
      <w:r w:rsidR="00B9463E" w:rsidRPr="00976042">
        <w:rPr>
          <w:bCs/>
          <w:color w:val="0C0C0E"/>
          <w:lang w:val="bs-Latn-BA"/>
        </w:rPr>
        <w:t xml:space="preserve">                                                                              </w:t>
      </w:r>
      <w:r w:rsidRPr="00976042">
        <w:rPr>
          <w:bCs/>
          <w:color w:val="0C0C0E"/>
          <w:lang w:val="bs-Latn-BA"/>
        </w:rPr>
        <w:t xml:space="preserve"> </w:t>
      </w:r>
      <w:r w:rsidR="00B9463E" w:rsidRPr="00976042">
        <w:rPr>
          <w:bCs/>
          <w:color w:val="0C0C0E"/>
          <w:lang w:val="bs-Latn-BA"/>
        </w:rPr>
        <w:t>Predsjedavajući</w:t>
      </w:r>
    </w:p>
    <w:p w14:paraId="423E6B4D" w14:textId="77777777" w:rsidR="00B9463E" w:rsidRPr="00976042" w:rsidRDefault="00B9463E" w:rsidP="00B9463E">
      <w:pPr>
        <w:autoSpaceDE w:val="0"/>
        <w:autoSpaceDN w:val="0"/>
        <w:adjustRightInd w:val="0"/>
        <w:ind w:left="4956" w:firstLine="708"/>
        <w:rPr>
          <w:bCs/>
          <w:color w:val="0C0C0E"/>
          <w:lang w:val="bs-Latn-BA"/>
        </w:rPr>
      </w:pPr>
      <w:r w:rsidRPr="00976042">
        <w:rPr>
          <w:bCs/>
          <w:color w:val="0C0C0E"/>
          <w:lang w:val="bs-Latn-BA"/>
        </w:rPr>
        <w:t>Vijeća ministara BiH</w:t>
      </w:r>
    </w:p>
    <w:p w14:paraId="6FA741E9" w14:textId="5E8DFB2F" w:rsidR="00B9463E" w:rsidRPr="00976042" w:rsidRDefault="00B9463E" w:rsidP="00B9463E">
      <w:pPr>
        <w:autoSpaceDE w:val="0"/>
        <w:autoSpaceDN w:val="0"/>
        <w:adjustRightInd w:val="0"/>
        <w:rPr>
          <w:b/>
          <w:color w:val="0C0C0E"/>
          <w:lang w:val="bs-Latn-BA"/>
        </w:rPr>
      </w:pPr>
      <w:r w:rsidRPr="00976042">
        <w:rPr>
          <w:b/>
          <w:color w:val="0C0C0E"/>
          <w:lang w:val="bs-Latn-BA"/>
        </w:rPr>
        <w:t xml:space="preserve">                                                                                                </w:t>
      </w:r>
      <w:r w:rsidR="002B5511" w:rsidRPr="00976042">
        <w:rPr>
          <w:b/>
          <w:color w:val="0C0C0E"/>
          <w:lang w:val="bs-Latn-BA"/>
        </w:rPr>
        <w:t xml:space="preserve">Dr. Zoran </w:t>
      </w:r>
      <w:proofErr w:type="spellStart"/>
      <w:r w:rsidR="002B5511" w:rsidRPr="00976042">
        <w:rPr>
          <w:b/>
          <w:color w:val="0C0C0E"/>
          <w:lang w:val="bs-Latn-BA"/>
        </w:rPr>
        <w:t>Tegeltija</w:t>
      </w:r>
      <w:proofErr w:type="spellEnd"/>
      <w:r w:rsidR="002B5511" w:rsidRPr="00976042">
        <w:rPr>
          <w:b/>
          <w:color w:val="0C0C0E"/>
          <w:lang w:val="bs-Latn-BA"/>
        </w:rPr>
        <w:t>, s.</w:t>
      </w:r>
      <w:r w:rsidR="009C7CD2" w:rsidRPr="00976042">
        <w:rPr>
          <w:b/>
          <w:color w:val="0C0C0E"/>
          <w:lang w:val="bs-Latn-BA"/>
        </w:rPr>
        <w:t xml:space="preserve"> </w:t>
      </w:r>
      <w:r w:rsidR="009C7CD2" w:rsidRPr="00976042">
        <w:rPr>
          <w:bCs/>
          <w:color w:val="0C0C0E"/>
          <w:lang w:val="bs-Latn-BA"/>
        </w:rPr>
        <w:t>r.</w:t>
      </w:r>
    </w:p>
    <w:p w14:paraId="17C04CBD" w14:textId="7E9878C8" w:rsidR="005E4838" w:rsidRPr="00976042" w:rsidRDefault="005E4838" w:rsidP="005E4838">
      <w:pPr>
        <w:autoSpaceDE w:val="0"/>
        <w:autoSpaceDN w:val="0"/>
        <w:adjustRightInd w:val="0"/>
        <w:rPr>
          <w:b/>
          <w:color w:val="0C0C0E"/>
          <w:lang w:val="bs-Latn-BA"/>
        </w:rPr>
      </w:pPr>
    </w:p>
    <w:p w14:paraId="474CBE16" w14:textId="77777777" w:rsidR="005E4838" w:rsidRPr="00976042" w:rsidRDefault="005E4838" w:rsidP="005E4838">
      <w:pPr>
        <w:autoSpaceDE w:val="0"/>
        <w:autoSpaceDN w:val="0"/>
        <w:adjustRightInd w:val="0"/>
        <w:rPr>
          <w:color w:val="0C0C0E"/>
          <w:lang w:val="bs-Latn-BA"/>
        </w:rPr>
      </w:pPr>
    </w:p>
    <w:p w14:paraId="715A8EE8" w14:textId="77777777" w:rsidR="005E4838" w:rsidRPr="00976042" w:rsidRDefault="005E4838" w:rsidP="005E4838">
      <w:pPr>
        <w:rPr>
          <w:b/>
          <w:lang w:val="bs-Latn-BA"/>
        </w:rPr>
      </w:pPr>
    </w:p>
    <w:p w14:paraId="3A293F83" w14:textId="77777777" w:rsidR="005E4838" w:rsidRPr="00976042" w:rsidRDefault="005E4838" w:rsidP="005E4838">
      <w:pPr>
        <w:rPr>
          <w:b/>
          <w:lang w:val="bs-Latn-BA" w:eastAsia="bs-Latn-BA"/>
        </w:rPr>
      </w:pPr>
    </w:p>
    <w:p w14:paraId="7A9E0845" w14:textId="77777777" w:rsidR="00E7351F" w:rsidRPr="00976042" w:rsidRDefault="00E7351F" w:rsidP="00E7351F">
      <w:pPr>
        <w:jc w:val="center"/>
        <w:rPr>
          <w:b/>
          <w:lang w:val="bs-Latn-BA"/>
        </w:rPr>
      </w:pPr>
      <w:r w:rsidRPr="00976042">
        <w:rPr>
          <w:b/>
          <w:lang w:val="bs-Latn-BA"/>
        </w:rPr>
        <w:t>DOKUMENT O TEHNIČKO-TEHNOLOŠKOM I SOFTVERSKOM STANDARDU ZA RADNU STANICU U INSTITUCIJAMA BOSNE I HERCEGOVINE</w:t>
      </w:r>
    </w:p>
    <w:p w14:paraId="1BB03FF2" w14:textId="77777777" w:rsidR="00E7351F" w:rsidRPr="00976042" w:rsidRDefault="00E7351F" w:rsidP="00E7351F">
      <w:pPr>
        <w:rPr>
          <w:b/>
          <w:lang w:val="bs-Latn-BA"/>
        </w:rPr>
      </w:pPr>
    </w:p>
    <w:p w14:paraId="5391EA93" w14:textId="77777777" w:rsidR="00E7351F" w:rsidRPr="00976042" w:rsidRDefault="00E7351F" w:rsidP="00E7351F">
      <w:pPr>
        <w:rPr>
          <w:lang w:val="bs-Latn-BA"/>
        </w:rPr>
      </w:pPr>
    </w:p>
    <w:p w14:paraId="1FE0E411" w14:textId="77777777" w:rsidR="00E7351F" w:rsidRPr="00976042" w:rsidRDefault="00E7351F" w:rsidP="00E7351F">
      <w:pPr>
        <w:pStyle w:val="ListParagraph"/>
        <w:numPr>
          <w:ilvl w:val="0"/>
          <w:numId w:val="1"/>
        </w:numPr>
        <w:jc w:val="both"/>
        <w:rPr>
          <w:b/>
          <w:lang w:val="bs-Latn-BA"/>
        </w:rPr>
      </w:pPr>
      <w:r w:rsidRPr="00976042">
        <w:rPr>
          <w:b/>
          <w:lang w:val="bs-Latn-BA"/>
        </w:rPr>
        <w:t>Predmet Dokumenta</w:t>
      </w:r>
    </w:p>
    <w:p w14:paraId="119A31C7" w14:textId="77777777" w:rsidR="00E7351F" w:rsidRPr="00976042" w:rsidRDefault="00E7351F" w:rsidP="00E7351F">
      <w:pPr>
        <w:jc w:val="both"/>
        <w:rPr>
          <w:lang w:val="bs-Latn-BA"/>
        </w:rPr>
      </w:pPr>
    </w:p>
    <w:p w14:paraId="63744B59" w14:textId="77777777" w:rsidR="00E7351F" w:rsidRPr="00976042" w:rsidRDefault="00E7351F" w:rsidP="00E7351F">
      <w:pPr>
        <w:jc w:val="both"/>
        <w:rPr>
          <w:lang w:val="bs-Latn-BA"/>
        </w:rPr>
      </w:pPr>
      <w:r w:rsidRPr="00976042">
        <w:rPr>
          <w:lang w:val="bs-Latn-BA"/>
        </w:rPr>
        <w:t>Dokument o tehničko</w:t>
      </w:r>
      <w:r w:rsidRPr="00976042">
        <w:rPr>
          <w:b/>
          <w:lang w:val="bs-Latn-BA"/>
        </w:rPr>
        <w:t>-</w:t>
      </w:r>
      <w:r w:rsidRPr="00976042">
        <w:rPr>
          <w:lang w:val="bs-Latn-BA"/>
        </w:rPr>
        <w:t>tehnološkom i softverskom standardu za radnu stanicu u institucijama Bosne i Hercegovine (u daljnjem tekstu: institucije) definira minimalne tehničko</w:t>
      </w:r>
      <w:r w:rsidRPr="00976042">
        <w:rPr>
          <w:b/>
          <w:lang w:val="bs-Latn-BA"/>
        </w:rPr>
        <w:t>-</w:t>
      </w:r>
      <w:r w:rsidRPr="00976042">
        <w:rPr>
          <w:lang w:val="bs-Latn-BA"/>
        </w:rPr>
        <w:t xml:space="preserve">tehnološke i softverske zahtjeve za standardizaciju radnih stanica koje su u upotrebi u institucijama Bosne i Hercegovine.   </w:t>
      </w:r>
    </w:p>
    <w:p w14:paraId="7F7B8E0A" w14:textId="780ADCEB" w:rsidR="00E7351F" w:rsidRPr="00976042" w:rsidRDefault="00E7351F" w:rsidP="00E7351F">
      <w:pPr>
        <w:jc w:val="both"/>
        <w:rPr>
          <w:lang w:val="bs-Latn-BA"/>
        </w:rPr>
      </w:pPr>
      <w:r w:rsidRPr="00976042">
        <w:rPr>
          <w:lang w:val="bs-Latn-BA"/>
        </w:rPr>
        <w:t>Usvajanjem ovog dokumenta o tehničko-tehnološkom i softverskom standardu za radnu stanicu u institucijama Bosne i Hercegovine (u daljnjem tekstu: Dokument) institucije se obavezuju na standardizaciju radnih stanica kada su u pitanju hardver i softver. Dokumentom se određuju i smjernice za nabavku računarske opreme i računarskog operativnog sistema i minimum aplikativ</w:t>
      </w:r>
      <w:r w:rsidR="00AE6585" w:rsidRPr="00976042">
        <w:rPr>
          <w:lang w:val="bs-Latn-BA"/>
        </w:rPr>
        <w:t>n</w:t>
      </w:r>
      <w:r w:rsidRPr="00976042">
        <w:rPr>
          <w:lang w:val="bs-Latn-BA"/>
        </w:rPr>
        <w:t xml:space="preserve">ih programa koji moraju biti instalirani na radnoj stanici, definiraju se i početne minimalne performanse za različite tipove radnih stanica te se propisuje postupak prilikom </w:t>
      </w:r>
      <w:proofErr w:type="spellStart"/>
      <w:r w:rsidRPr="00976042">
        <w:rPr>
          <w:lang w:val="bs-Latn-BA"/>
        </w:rPr>
        <w:t>određivanja</w:t>
      </w:r>
      <w:proofErr w:type="spellEnd"/>
      <w:r w:rsidRPr="00976042">
        <w:rPr>
          <w:lang w:val="bs-Latn-BA"/>
        </w:rPr>
        <w:t xml:space="preserve"> minimalnih računarskih performansi prilikom budućih nabavki računarske opreme. </w:t>
      </w:r>
    </w:p>
    <w:p w14:paraId="42050760" w14:textId="77777777" w:rsidR="00E7351F" w:rsidRPr="00976042" w:rsidRDefault="00E7351F" w:rsidP="00E7351F">
      <w:pPr>
        <w:rPr>
          <w:lang w:val="bs-Latn-BA"/>
        </w:rPr>
      </w:pPr>
    </w:p>
    <w:p w14:paraId="55F8BD86" w14:textId="77777777" w:rsidR="00E7351F" w:rsidRPr="00976042" w:rsidRDefault="00E7351F" w:rsidP="00E7351F">
      <w:pPr>
        <w:pStyle w:val="ListParagraph"/>
        <w:numPr>
          <w:ilvl w:val="0"/>
          <w:numId w:val="1"/>
        </w:numPr>
        <w:rPr>
          <w:b/>
          <w:lang w:val="bs-Latn-BA"/>
        </w:rPr>
      </w:pPr>
      <w:r w:rsidRPr="00976042">
        <w:rPr>
          <w:b/>
          <w:lang w:val="bs-Latn-BA"/>
        </w:rPr>
        <w:t>Značenje pojedinih pojmova</w:t>
      </w:r>
    </w:p>
    <w:p w14:paraId="428B9ABE" w14:textId="77777777" w:rsidR="00E7351F" w:rsidRPr="00976042" w:rsidRDefault="00E7351F" w:rsidP="00E7351F">
      <w:pPr>
        <w:ind w:left="426"/>
        <w:jc w:val="both"/>
        <w:rPr>
          <w:lang w:val="bs-Latn-BA"/>
        </w:rPr>
      </w:pPr>
    </w:p>
    <w:p w14:paraId="00BC356E" w14:textId="77777777" w:rsidR="00E7351F" w:rsidRPr="00976042" w:rsidRDefault="00E7351F" w:rsidP="00E7351F">
      <w:pPr>
        <w:jc w:val="both"/>
        <w:rPr>
          <w:b/>
          <w:lang w:val="bs-Latn-BA"/>
        </w:rPr>
      </w:pPr>
      <w:r w:rsidRPr="00976042">
        <w:rPr>
          <w:lang w:val="bs-Latn-BA"/>
        </w:rPr>
        <w:t>Izrazi upotrijebljeni u ovom dokumentu imaju sljedeće značenje:</w:t>
      </w:r>
    </w:p>
    <w:p w14:paraId="4F5A7E99" w14:textId="77777777" w:rsidR="00E7351F" w:rsidRPr="00976042" w:rsidRDefault="00E7351F" w:rsidP="00E7351F">
      <w:pPr>
        <w:jc w:val="both"/>
        <w:rPr>
          <w:lang w:val="bs-Latn-BA"/>
        </w:rPr>
      </w:pPr>
    </w:p>
    <w:p w14:paraId="5DB791EB" w14:textId="77777777" w:rsidR="00E7351F" w:rsidRPr="00976042" w:rsidRDefault="00E7351F" w:rsidP="00E7351F">
      <w:pPr>
        <w:jc w:val="both"/>
        <w:rPr>
          <w:lang w:val="bs-Latn-BA"/>
        </w:rPr>
      </w:pPr>
      <w:r w:rsidRPr="00976042">
        <w:rPr>
          <w:b/>
          <w:lang w:val="bs-Latn-BA"/>
        </w:rPr>
        <w:t>„Hardver“</w:t>
      </w:r>
      <w:r w:rsidRPr="00976042">
        <w:rPr>
          <w:lang w:val="bs-Latn-BA"/>
        </w:rPr>
        <w:t xml:space="preserve"> je materijalna osnova informacionog sistema, u koju ubrajamo: računar, ulazno</w:t>
      </w:r>
      <w:r w:rsidRPr="00976042">
        <w:rPr>
          <w:b/>
          <w:lang w:val="bs-Latn-BA"/>
        </w:rPr>
        <w:t>-</w:t>
      </w:r>
      <w:r w:rsidRPr="00976042">
        <w:rPr>
          <w:lang w:val="bs-Latn-BA"/>
        </w:rPr>
        <w:t>izlazne uređaje, uređaje za prijenos podataka na daljinu i ostalu opremu neophodnu za obradu, prikaz, razmjenu i dijeljenje podataka;</w:t>
      </w:r>
    </w:p>
    <w:p w14:paraId="6665BD9C" w14:textId="77777777" w:rsidR="00E7351F" w:rsidRPr="00976042" w:rsidRDefault="00E7351F" w:rsidP="00E7351F">
      <w:pPr>
        <w:pStyle w:val="ListParagraph"/>
        <w:ind w:left="0"/>
        <w:jc w:val="both"/>
        <w:rPr>
          <w:lang w:val="bs-Latn-BA"/>
        </w:rPr>
      </w:pPr>
    </w:p>
    <w:p w14:paraId="6827F052" w14:textId="77777777" w:rsidR="00E7351F" w:rsidRPr="00976042" w:rsidRDefault="00E7351F" w:rsidP="00E7351F">
      <w:pPr>
        <w:jc w:val="both"/>
        <w:rPr>
          <w:lang w:val="bs-Latn-BA"/>
        </w:rPr>
      </w:pPr>
      <w:r w:rsidRPr="00976042">
        <w:rPr>
          <w:b/>
          <w:lang w:val="bs-Latn-BA"/>
        </w:rPr>
        <w:t>„Informacija”</w:t>
      </w:r>
      <w:r w:rsidRPr="00976042">
        <w:rPr>
          <w:lang w:val="bs-Latn-BA"/>
        </w:rPr>
        <w:t xml:space="preserve"> je rezultat obrade, manipulacije, organiziranja i interpretacije podataka koji daju određeno znanje primatelju;</w:t>
      </w:r>
    </w:p>
    <w:p w14:paraId="5F3B7425" w14:textId="77777777" w:rsidR="00E7351F" w:rsidRPr="00976042" w:rsidRDefault="00E7351F" w:rsidP="00E7351F">
      <w:pPr>
        <w:pStyle w:val="ListParagraph"/>
        <w:ind w:left="0"/>
        <w:jc w:val="both"/>
        <w:rPr>
          <w:lang w:val="bs-Latn-BA"/>
        </w:rPr>
      </w:pPr>
    </w:p>
    <w:p w14:paraId="06E3A109" w14:textId="77777777" w:rsidR="00E7351F" w:rsidRPr="00976042" w:rsidRDefault="00E7351F" w:rsidP="00E7351F">
      <w:pPr>
        <w:jc w:val="both"/>
        <w:rPr>
          <w:lang w:val="bs-Latn-BA"/>
        </w:rPr>
      </w:pPr>
      <w:r w:rsidRPr="00976042">
        <w:rPr>
          <w:b/>
          <w:lang w:val="bs-Latn-BA"/>
        </w:rPr>
        <w:t>„Informacioni sistem”</w:t>
      </w:r>
      <w:r w:rsidRPr="00976042">
        <w:rPr>
          <w:lang w:val="bs-Latn-BA"/>
        </w:rPr>
        <w:t xml:space="preserve"> predstavlja sistem za prikupljanje, obradu, prijenos, pohranu i distribuciju informacija te ih čini dostupnim i upotrebljivim;</w:t>
      </w:r>
    </w:p>
    <w:p w14:paraId="65A597D4" w14:textId="77777777" w:rsidR="00E7351F" w:rsidRPr="00976042" w:rsidRDefault="00E7351F" w:rsidP="00E7351F">
      <w:pPr>
        <w:pStyle w:val="ListParagraph"/>
        <w:ind w:left="0"/>
        <w:jc w:val="both"/>
        <w:rPr>
          <w:lang w:val="bs-Latn-BA"/>
        </w:rPr>
      </w:pPr>
    </w:p>
    <w:p w14:paraId="1CBE9DBF" w14:textId="77777777" w:rsidR="00E7351F" w:rsidRPr="00976042" w:rsidRDefault="00E7351F" w:rsidP="00E7351F">
      <w:pPr>
        <w:jc w:val="both"/>
        <w:rPr>
          <w:lang w:val="bs-Latn-BA"/>
        </w:rPr>
      </w:pPr>
      <w:r w:rsidRPr="00976042">
        <w:rPr>
          <w:b/>
          <w:lang w:val="bs-Latn-BA"/>
        </w:rPr>
        <w:t xml:space="preserve">„Informaciono-komunikacione tehnologije (IKT)” </w:t>
      </w:r>
      <w:r w:rsidRPr="00976042">
        <w:rPr>
          <w:lang w:val="bs-Latn-BA"/>
        </w:rPr>
        <w:t>predstavljaju skup informacionih tehnologija koje se koriste u procesu prikupljanja, odabira, obrade, prijenosa, verifikacije, skladištenja, prikaza, objavljivanja i dijeljenja informacija u procesima komunikacije, kod kojih su jasno razdvojene komponente informacije i komunikacije;</w:t>
      </w:r>
    </w:p>
    <w:p w14:paraId="57B67A48" w14:textId="77777777" w:rsidR="00E7351F" w:rsidRPr="00976042" w:rsidRDefault="00E7351F" w:rsidP="00E7351F">
      <w:pPr>
        <w:pStyle w:val="ListParagraph"/>
        <w:ind w:left="0"/>
        <w:jc w:val="both"/>
        <w:rPr>
          <w:lang w:val="bs-Latn-BA"/>
        </w:rPr>
      </w:pPr>
    </w:p>
    <w:p w14:paraId="0E7E0A74" w14:textId="77777777" w:rsidR="00E7351F" w:rsidRPr="00976042" w:rsidRDefault="00E7351F" w:rsidP="00E7351F">
      <w:pPr>
        <w:jc w:val="both"/>
        <w:rPr>
          <w:lang w:val="bs-Latn-BA"/>
        </w:rPr>
      </w:pPr>
      <w:r w:rsidRPr="00976042">
        <w:rPr>
          <w:b/>
          <w:lang w:val="bs-Latn-BA"/>
        </w:rPr>
        <w:t>„Internet”</w:t>
      </w:r>
      <w:r w:rsidRPr="00976042">
        <w:rPr>
          <w:lang w:val="bs-Latn-BA"/>
        </w:rPr>
        <w:t xml:space="preserve"> je globalna računarska mreža, sačinjena od velikog broja međusobno povezanih računarskih mreža i uređaja, koja </w:t>
      </w:r>
      <w:proofErr w:type="spellStart"/>
      <w:r w:rsidRPr="00976042">
        <w:rPr>
          <w:lang w:val="bs-Latn-BA"/>
        </w:rPr>
        <w:t>omogućava</w:t>
      </w:r>
      <w:proofErr w:type="spellEnd"/>
      <w:r w:rsidRPr="00976042">
        <w:rPr>
          <w:lang w:val="bs-Latn-BA"/>
        </w:rPr>
        <w:t xml:space="preserve"> razmjenu podataka između računara;</w:t>
      </w:r>
    </w:p>
    <w:p w14:paraId="1463C601" w14:textId="77777777" w:rsidR="00E7351F" w:rsidRPr="00976042" w:rsidRDefault="00E7351F" w:rsidP="00E7351F">
      <w:pPr>
        <w:pStyle w:val="ListParagraph"/>
        <w:ind w:left="0"/>
        <w:jc w:val="both"/>
        <w:rPr>
          <w:lang w:val="bs-Latn-BA"/>
        </w:rPr>
      </w:pPr>
    </w:p>
    <w:p w14:paraId="52AFE13D" w14:textId="77777777" w:rsidR="00E7351F" w:rsidRPr="00976042" w:rsidRDefault="00E7351F" w:rsidP="00E7351F">
      <w:pPr>
        <w:jc w:val="both"/>
        <w:rPr>
          <w:lang w:val="bs-Latn-BA"/>
        </w:rPr>
      </w:pPr>
      <w:r w:rsidRPr="00976042">
        <w:rPr>
          <w:b/>
          <w:lang w:val="bs-Latn-BA"/>
        </w:rPr>
        <w:t>„Institucije Bosne i Hercegovine”</w:t>
      </w:r>
      <w:r w:rsidRPr="00976042">
        <w:rPr>
          <w:lang w:val="bs-Latn-BA"/>
        </w:rPr>
        <w:t xml:space="preserve"> su Vijeće ministara Bosne i Hercegovine, sve agencije, direkcije te ostale institucije koje su osnovali Vijeće ministara Bosne i Hercegovine i Parlamentarna skupštine Bosne i Hercegovine, a u skladu sa Zakonom o upravi i Zakonom o ministarstvima i drugim tijelima uprave Bosne i Hercegovine;</w:t>
      </w:r>
    </w:p>
    <w:p w14:paraId="4060C8F0" w14:textId="77777777" w:rsidR="00E7351F" w:rsidRPr="00976042" w:rsidRDefault="00E7351F" w:rsidP="00E7351F">
      <w:pPr>
        <w:jc w:val="both"/>
        <w:rPr>
          <w:lang w:val="bs-Latn-BA"/>
        </w:rPr>
      </w:pPr>
    </w:p>
    <w:p w14:paraId="5C09689E" w14:textId="77777777" w:rsidR="00E7351F" w:rsidRPr="00976042" w:rsidRDefault="00E7351F" w:rsidP="00E7351F">
      <w:pPr>
        <w:jc w:val="both"/>
        <w:rPr>
          <w:lang w:val="bs-Latn-BA"/>
        </w:rPr>
      </w:pPr>
      <w:r w:rsidRPr="00976042">
        <w:rPr>
          <w:b/>
          <w:lang w:val="bs-Latn-BA"/>
        </w:rPr>
        <w:t>„Prijenosni računar”</w:t>
      </w:r>
      <w:r w:rsidRPr="00976042">
        <w:rPr>
          <w:lang w:val="bs-Latn-BA"/>
        </w:rPr>
        <w:t xml:space="preserve">  je personalni računar relativno malih dimenzija, lako prenosiv, čija je težina obično u rasponu od 1 do 6 kg, u zavisnosti od veličine, materijala i drugih konstruktivnih komponenti. Prijenosni računar u istom </w:t>
      </w:r>
      <w:proofErr w:type="spellStart"/>
      <w:r w:rsidRPr="00976042">
        <w:rPr>
          <w:lang w:val="bs-Latn-BA"/>
        </w:rPr>
        <w:t>kućištu</w:t>
      </w:r>
      <w:proofErr w:type="spellEnd"/>
      <w:r w:rsidRPr="00976042">
        <w:rPr>
          <w:lang w:val="bs-Latn-BA"/>
        </w:rPr>
        <w:t xml:space="preserve"> objedinjuje tipične komponente personalnog računara, uključujući ekran, tastaturu, pokazivački uređaj i </w:t>
      </w:r>
      <w:proofErr w:type="spellStart"/>
      <w:r w:rsidRPr="00976042">
        <w:rPr>
          <w:lang w:val="bs-Latn-BA"/>
        </w:rPr>
        <w:t>zvučnike</w:t>
      </w:r>
      <w:proofErr w:type="spellEnd"/>
      <w:r w:rsidRPr="00976042">
        <w:rPr>
          <w:lang w:val="bs-Latn-BA"/>
        </w:rPr>
        <w:t xml:space="preserve">, a za napajanje koristi </w:t>
      </w:r>
      <w:proofErr w:type="spellStart"/>
      <w:r w:rsidRPr="00976042">
        <w:rPr>
          <w:lang w:val="bs-Latn-BA"/>
        </w:rPr>
        <w:t>punjivu</w:t>
      </w:r>
      <w:proofErr w:type="spellEnd"/>
      <w:r w:rsidRPr="00976042">
        <w:rPr>
          <w:lang w:val="bs-Latn-BA"/>
        </w:rPr>
        <w:t xml:space="preserve"> bateriju koja </w:t>
      </w:r>
      <w:proofErr w:type="spellStart"/>
      <w:r w:rsidRPr="00976042">
        <w:rPr>
          <w:lang w:val="bs-Latn-BA"/>
        </w:rPr>
        <w:t>omogućava</w:t>
      </w:r>
      <w:proofErr w:type="spellEnd"/>
      <w:r w:rsidRPr="00976042">
        <w:rPr>
          <w:lang w:val="bs-Latn-BA"/>
        </w:rPr>
        <w:t xml:space="preserve"> da računar radi više sati bez napajanja iz električne mreže;</w:t>
      </w:r>
    </w:p>
    <w:p w14:paraId="6FFF4F89" w14:textId="77777777" w:rsidR="00E7351F" w:rsidRPr="00976042" w:rsidRDefault="00E7351F" w:rsidP="00E7351F">
      <w:pPr>
        <w:pStyle w:val="ListParagraph"/>
        <w:ind w:left="0"/>
        <w:jc w:val="both"/>
        <w:rPr>
          <w:lang w:val="bs-Latn-BA"/>
        </w:rPr>
      </w:pPr>
    </w:p>
    <w:p w14:paraId="309B2851" w14:textId="77777777" w:rsidR="00E7351F" w:rsidRPr="00976042" w:rsidRDefault="00E7351F" w:rsidP="00E7351F">
      <w:pPr>
        <w:jc w:val="both"/>
        <w:rPr>
          <w:lang w:val="bs-Latn-BA"/>
        </w:rPr>
      </w:pPr>
      <w:r w:rsidRPr="00976042">
        <w:rPr>
          <w:b/>
          <w:lang w:val="bs-Latn-BA"/>
        </w:rPr>
        <w:lastRenderedPageBreak/>
        <w:t>„Radna stanica”</w:t>
      </w:r>
      <w:r w:rsidRPr="00976042">
        <w:rPr>
          <w:lang w:val="bs-Latn-BA"/>
        </w:rPr>
        <w:t xml:space="preserve"> podrazumijeva desktop, laptop ili drugi računar kojim se služe korisnici sistema u svrhu efikasnijeg i bržeg obavljanja svakodnevnih radnih zadataka te u svrhu komunikacije i razmjene podataka;</w:t>
      </w:r>
    </w:p>
    <w:p w14:paraId="4B66747B" w14:textId="77777777" w:rsidR="00E7351F" w:rsidRPr="00976042" w:rsidRDefault="00E7351F" w:rsidP="00E7351F">
      <w:pPr>
        <w:pStyle w:val="ListParagraph"/>
        <w:ind w:left="0"/>
        <w:jc w:val="both"/>
        <w:rPr>
          <w:lang w:val="bs-Latn-BA"/>
        </w:rPr>
      </w:pPr>
    </w:p>
    <w:p w14:paraId="348F7058" w14:textId="77777777" w:rsidR="00E7351F" w:rsidRPr="00976042" w:rsidRDefault="00E7351F" w:rsidP="00E7351F">
      <w:pPr>
        <w:jc w:val="both"/>
        <w:rPr>
          <w:lang w:val="bs-Latn-BA"/>
        </w:rPr>
      </w:pPr>
      <w:r w:rsidRPr="00976042">
        <w:rPr>
          <w:b/>
          <w:lang w:val="bs-Latn-BA"/>
        </w:rPr>
        <w:t>„Softver”</w:t>
      </w:r>
      <w:r w:rsidRPr="00976042">
        <w:rPr>
          <w:lang w:val="bs-Latn-BA"/>
        </w:rPr>
        <w:t xml:space="preserve"> predstavlja uređeni skup naredbi koje služe za upravljanje radom računara, kao i za rješavanje određenog zadatka pomoću računara.</w:t>
      </w:r>
    </w:p>
    <w:p w14:paraId="7DD5BBC1" w14:textId="77777777" w:rsidR="00E7351F" w:rsidRPr="00976042" w:rsidRDefault="00E7351F" w:rsidP="00E7351F">
      <w:pPr>
        <w:rPr>
          <w:lang w:val="bs-Latn-BA"/>
        </w:rPr>
      </w:pPr>
    </w:p>
    <w:p w14:paraId="0B90C883" w14:textId="77777777" w:rsidR="00E7351F" w:rsidRPr="00976042" w:rsidRDefault="00E7351F" w:rsidP="00E7351F">
      <w:pPr>
        <w:pStyle w:val="ListParagraph"/>
        <w:numPr>
          <w:ilvl w:val="0"/>
          <w:numId w:val="1"/>
        </w:numPr>
        <w:tabs>
          <w:tab w:val="left" w:pos="851"/>
        </w:tabs>
        <w:rPr>
          <w:b/>
          <w:lang w:val="bs-Latn-BA"/>
        </w:rPr>
      </w:pPr>
      <w:r w:rsidRPr="00976042">
        <w:rPr>
          <w:b/>
          <w:lang w:val="bs-Latn-BA"/>
        </w:rPr>
        <w:t>Vrste radnih stanica</w:t>
      </w:r>
    </w:p>
    <w:p w14:paraId="4C69048F" w14:textId="77777777" w:rsidR="00E7351F" w:rsidRPr="00976042" w:rsidRDefault="00E7351F" w:rsidP="00E7351F">
      <w:pPr>
        <w:jc w:val="both"/>
        <w:rPr>
          <w:lang w:val="bs-Latn-BA"/>
        </w:rPr>
      </w:pPr>
    </w:p>
    <w:p w14:paraId="73E0B9EA" w14:textId="77777777" w:rsidR="00E7351F" w:rsidRPr="00976042" w:rsidRDefault="00E7351F" w:rsidP="00E7351F">
      <w:pPr>
        <w:jc w:val="both"/>
        <w:rPr>
          <w:lang w:val="bs-Latn-BA"/>
        </w:rPr>
      </w:pPr>
      <w:r w:rsidRPr="00976042">
        <w:rPr>
          <w:lang w:val="bs-Latn-BA"/>
        </w:rPr>
        <w:t>Radne stanice koje se mogu nabavljati i koristiti u institucijama, na osnovu funkcija koje koriste, podijeljene su u pet osnovnih kategorija:</w:t>
      </w:r>
    </w:p>
    <w:p w14:paraId="0F49294B" w14:textId="77777777" w:rsidR="00E7351F" w:rsidRPr="00976042" w:rsidRDefault="00E7351F" w:rsidP="00E7351F">
      <w:pPr>
        <w:jc w:val="both"/>
        <w:rPr>
          <w:lang w:val="bs-Latn-BA"/>
        </w:rPr>
      </w:pPr>
    </w:p>
    <w:p w14:paraId="04C1C94A" w14:textId="77777777" w:rsidR="00E7351F" w:rsidRPr="00976042" w:rsidRDefault="00E7351F" w:rsidP="00E7351F">
      <w:pPr>
        <w:pStyle w:val="ListParagraph"/>
        <w:numPr>
          <w:ilvl w:val="0"/>
          <w:numId w:val="3"/>
        </w:numPr>
        <w:rPr>
          <w:lang w:val="bs-Latn-BA"/>
        </w:rPr>
      </w:pPr>
      <w:r w:rsidRPr="00976042">
        <w:rPr>
          <w:lang w:val="bs-Latn-BA"/>
        </w:rPr>
        <w:t>standardna uredska radna stanica;</w:t>
      </w:r>
    </w:p>
    <w:p w14:paraId="1953C15A" w14:textId="77777777" w:rsidR="00E7351F" w:rsidRPr="00976042" w:rsidRDefault="00E7351F" w:rsidP="00E7351F">
      <w:pPr>
        <w:pStyle w:val="ListParagraph"/>
        <w:numPr>
          <w:ilvl w:val="0"/>
          <w:numId w:val="3"/>
        </w:numPr>
        <w:rPr>
          <w:lang w:val="bs-Latn-BA"/>
        </w:rPr>
      </w:pPr>
      <w:r w:rsidRPr="00976042">
        <w:rPr>
          <w:lang w:val="bs-Latn-BA"/>
        </w:rPr>
        <w:t xml:space="preserve">poboljšana uredska radna stanica; </w:t>
      </w:r>
    </w:p>
    <w:p w14:paraId="3D2D4647" w14:textId="77777777" w:rsidR="00E7351F" w:rsidRPr="00976042" w:rsidRDefault="00E7351F" w:rsidP="00E7351F">
      <w:pPr>
        <w:pStyle w:val="ListParagraph"/>
        <w:numPr>
          <w:ilvl w:val="0"/>
          <w:numId w:val="3"/>
        </w:numPr>
        <w:rPr>
          <w:lang w:val="bs-Latn-BA"/>
        </w:rPr>
      </w:pPr>
      <w:r w:rsidRPr="00976042">
        <w:rPr>
          <w:lang w:val="bs-Latn-BA"/>
        </w:rPr>
        <w:t>napredna uredska radna stanica;</w:t>
      </w:r>
    </w:p>
    <w:p w14:paraId="0CEDEE8F" w14:textId="77777777" w:rsidR="00E7351F" w:rsidRPr="00976042" w:rsidRDefault="00E7351F" w:rsidP="00E7351F">
      <w:pPr>
        <w:pStyle w:val="ListParagraph"/>
        <w:numPr>
          <w:ilvl w:val="0"/>
          <w:numId w:val="3"/>
        </w:numPr>
        <w:rPr>
          <w:lang w:val="bs-Latn-BA"/>
        </w:rPr>
      </w:pPr>
      <w:r w:rsidRPr="00976042">
        <w:rPr>
          <w:lang w:val="bs-Latn-BA"/>
        </w:rPr>
        <w:t>mobilna radna stanica;</w:t>
      </w:r>
    </w:p>
    <w:p w14:paraId="1EE5927B" w14:textId="77777777" w:rsidR="00E7351F" w:rsidRPr="00976042" w:rsidRDefault="00E7351F" w:rsidP="00E7351F">
      <w:pPr>
        <w:pStyle w:val="ListParagraph"/>
        <w:numPr>
          <w:ilvl w:val="0"/>
          <w:numId w:val="3"/>
        </w:numPr>
        <w:rPr>
          <w:lang w:val="bs-Latn-BA"/>
        </w:rPr>
      </w:pPr>
      <w:r w:rsidRPr="00976042">
        <w:rPr>
          <w:lang w:val="bs-Latn-BA"/>
        </w:rPr>
        <w:t>napredna mobilna radna stanica.</w:t>
      </w:r>
    </w:p>
    <w:p w14:paraId="68314ACE" w14:textId="77777777" w:rsidR="00E7351F" w:rsidRPr="00976042" w:rsidRDefault="00E7351F" w:rsidP="00E7351F">
      <w:pPr>
        <w:rPr>
          <w:lang w:val="bs-Latn-BA"/>
        </w:rPr>
      </w:pPr>
    </w:p>
    <w:p w14:paraId="460F9DAC" w14:textId="77777777" w:rsidR="00E7351F" w:rsidRPr="00976042" w:rsidRDefault="00E7351F" w:rsidP="00E7351F">
      <w:pPr>
        <w:pStyle w:val="ListParagraph"/>
        <w:numPr>
          <w:ilvl w:val="0"/>
          <w:numId w:val="2"/>
        </w:numPr>
        <w:ind w:left="709"/>
        <w:rPr>
          <w:b/>
          <w:lang w:val="bs-Latn-BA"/>
        </w:rPr>
      </w:pPr>
      <w:r w:rsidRPr="00976042">
        <w:rPr>
          <w:b/>
          <w:lang w:val="bs-Latn-BA"/>
        </w:rPr>
        <w:t>Standardna uredska radna stanica</w:t>
      </w:r>
    </w:p>
    <w:p w14:paraId="6020AB58" w14:textId="77777777" w:rsidR="00E7351F" w:rsidRPr="00976042" w:rsidRDefault="00E7351F" w:rsidP="00E7351F">
      <w:pPr>
        <w:rPr>
          <w:lang w:val="bs-Latn-BA"/>
        </w:rPr>
      </w:pPr>
    </w:p>
    <w:p w14:paraId="605A4355" w14:textId="77777777" w:rsidR="00E7351F" w:rsidRPr="00976042" w:rsidRDefault="00E7351F" w:rsidP="00E7351F">
      <w:pPr>
        <w:jc w:val="both"/>
        <w:rPr>
          <w:lang w:val="bs-Latn-BA"/>
        </w:rPr>
      </w:pPr>
      <w:r w:rsidRPr="00976042">
        <w:rPr>
          <w:lang w:val="bs-Latn-BA"/>
        </w:rPr>
        <w:t xml:space="preserve">Na svakog državnog službenika i zaposlenika u institucijama, koji u svom radu koriste računarsku opremu, minimalno se raspoređuje po jedna standardna uredska radna stanica (u daljnjem tekstu: standardna radna stanica), osim u slučajevima kada poslovni zahtjevi nalažu korištenje druge računarske opreme. </w:t>
      </w:r>
    </w:p>
    <w:p w14:paraId="01D5F118" w14:textId="77777777" w:rsidR="00E7351F" w:rsidRPr="00976042" w:rsidRDefault="00E7351F" w:rsidP="00E7351F">
      <w:pPr>
        <w:jc w:val="both"/>
        <w:rPr>
          <w:lang w:val="bs-Latn-BA"/>
        </w:rPr>
      </w:pPr>
      <w:r w:rsidRPr="00976042">
        <w:rPr>
          <w:lang w:val="bs-Latn-BA"/>
        </w:rPr>
        <w:t>Opravdanje za korištenje druge računarske opreme, osim standardne radne stanice, između ostalog, može uključivati:</w:t>
      </w:r>
    </w:p>
    <w:p w14:paraId="078ED7B3" w14:textId="77777777" w:rsidR="00E7351F" w:rsidRPr="00976042" w:rsidRDefault="00E7351F" w:rsidP="00E7351F">
      <w:pPr>
        <w:jc w:val="both"/>
        <w:rPr>
          <w:lang w:val="bs-Latn-BA"/>
        </w:rPr>
      </w:pPr>
      <w:r w:rsidRPr="00976042">
        <w:rPr>
          <w:lang w:val="bs-Latn-BA"/>
        </w:rPr>
        <w:t xml:space="preserve"> </w:t>
      </w:r>
    </w:p>
    <w:p w14:paraId="0DF5A76E" w14:textId="77777777" w:rsidR="00E7351F" w:rsidRPr="00976042" w:rsidRDefault="00E7351F" w:rsidP="00E7351F">
      <w:pPr>
        <w:pStyle w:val="ListParagraph"/>
        <w:numPr>
          <w:ilvl w:val="0"/>
          <w:numId w:val="4"/>
        </w:numPr>
        <w:jc w:val="both"/>
        <w:rPr>
          <w:lang w:val="bs-Latn-BA"/>
        </w:rPr>
      </w:pPr>
      <w:r w:rsidRPr="00976042">
        <w:rPr>
          <w:lang w:val="bs-Latn-BA"/>
        </w:rPr>
        <w:t>korištenje mobilne računarske opreme za efikasno obavljanje poslovnih zahtjeva, a koji se odnose na službena putovanja i sastanke na kojim se iskazuje potreba za takvom opremom;</w:t>
      </w:r>
    </w:p>
    <w:p w14:paraId="2424D050" w14:textId="77777777" w:rsidR="00E7351F" w:rsidRPr="00976042" w:rsidRDefault="00E7351F" w:rsidP="00E7351F">
      <w:pPr>
        <w:pStyle w:val="ListParagraph"/>
        <w:numPr>
          <w:ilvl w:val="0"/>
          <w:numId w:val="4"/>
        </w:numPr>
        <w:jc w:val="both"/>
        <w:rPr>
          <w:lang w:val="bs-Latn-BA"/>
        </w:rPr>
      </w:pPr>
      <w:r w:rsidRPr="00976042">
        <w:rPr>
          <w:lang w:val="bs-Latn-BA"/>
        </w:rPr>
        <w:t>korištenje mobilne radne stanice za efikasno obavljanje poslovnih zahtjeva iz oblasti IKT</w:t>
      </w:r>
      <w:r w:rsidRPr="00976042">
        <w:rPr>
          <w:b/>
          <w:lang w:val="bs-Latn-BA"/>
        </w:rPr>
        <w:t>-</w:t>
      </w:r>
      <w:r w:rsidRPr="00976042">
        <w:rPr>
          <w:lang w:val="bs-Latn-BA"/>
        </w:rPr>
        <w:t xml:space="preserve">a kada su u pitanju efikasna administracija i </w:t>
      </w:r>
      <w:proofErr w:type="spellStart"/>
      <w:r w:rsidRPr="00976042">
        <w:rPr>
          <w:lang w:val="bs-Latn-BA"/>
        </w:rPr>
        <w:t>održavanje</w:t>
      </w:r>
      <w:proofErr w:type="spellEnd"/>
      <w:r w:rsidRPr="00976042">
        <w:rPr>
          <w:lang w:val="bs-Latn-BA"/>
        </w:rPr>
        <w:t xml:space="preserve"> informacionih sistema i računarske opreme;</w:t>
      </w:r>
    </w:p>
    <w:p w14:paraId="335861D8" w14:textId="77777777" w:rsidR="00E7351F" w:rsidRPr="00976042" w:rsidRDefault="00E7351F" w:rsidP="00E7351F">
      <w:pPr>
        <w:pStyle w:val="ListParagraph"/>
        <w:numPr>
          <w:ilvl w:val="0"/>
          <w:numId w:val="4"/>
        </w:numPr>
        <w:jc w:val="both"/>
        <w:rPr>
          <w:lang w:val="bs-Latn-BA"/>
        </w:rPr>
      </w:pPr>
      <w:r w:rsidRPr="00976042">
        <w:rPr>
          <w:lang w:val="bs-Latn-BA"/>
        </w:rPr>
        <w:t>kada</w:t>
      </w:r>
      <w:r w:rsidRPr="00976042">
        <w:rPr>
          <w:color w:val="FF0000"/>
          <w:lang w:val="bs-Latn-BA"/>
        </w:rPr>
        <w:t xml:space="preserve"> </w:t>
      </w:r>
      <w:r w:rsidRPr="00976042">
        <w:rPr>
          <w:lang w:val="bs-Latn-BA"/>
        </w:rPr>
        <w:t>krajnji korisnik obavlja složene poslovne funkcije (</w:t>
      </w:r>
      <w:proofErr w:type="spellStart"/>
      <w:r w:rsidRPr="00976042">
        <w:rPr>
          <w:lang w:val="bs-Latn-BA"/>
        </w:rPr>
        <w:t>naprimjer</w:t>
      </w:r>
      <w:proofErr w:type="spellEnd"/>
      <w:r w:rsidRPr="00976042">
        <w:rPr>
          <w:lang w:val="bs-Latn-BA"/>
        </w:rPr>
        <w:t>, velike statističke analize, grafički zahtjevne aplikacije ili velike finansijske proračune) koje zahtijevaju visok stepen procesiranja na lokalnoj radnoj stanici.</w:t>
      </w:r>
    </w:p>
    <w:p w14:paraId="60AE7651" w14:textId="77777777" w:rsidR="00E7351F" w:rsidRPr="00976042" w:rsidRDefault="00E7351F" w:rsidP="00E7351F">
      <w:pPr>
        <w:ind w:left="705" w:hanging="705"/>
        <w:rPr>
          <w:strike/>
          <w:lang w:val="bs-Latn-BA"/>
        </w:rPr>
      </w:pPr>
    </w:p>
    <w:p w14:paraId="1FFDF7A1" w14:textId="77777777" w:rsidR="00E7351F" w:rsidRPr="00976042" w:rsidRDefault="00E7351F" w:rsidP="00E7351F">
      <w:pPr>
        <w:pStyle w:val="ListParagraph"/>
        <w:numPr>
          <w:ilvl w:val="0"/>
          <w:numId w:val="2"/>
        </w:numPr>
        <w:rPr>
          <w:b/>
          <w:lang w:val="bs-Latn-BA"/>
        </w:rPr>
      </w:pPr>
      <w:r w:rsidRPr="00976042">
        <w:rPr>
          <w:b/>
          <w:lang w:val="bs-Latn-BA"/>
        </w:rPr>
        <w:t>Poboljšana uredska radna stanica</w:t>
      </w:r>
    </w:p>
    <w:p w14:paraId="6D119063" w14:textId="77777777" w:rsidR="00E7351F" w:rsidRPr="00976042" w:rsidRDefault="00E7351F" w:rsidP="00E7351F">
      <w:pPr>
        <w:rPr>
          <w:lang w:val="bs-Latn-BA"/>
        </w:rPr>
      </w:pPr>
    </w:p>
    <w:p w14:paraId="55DD08F2" w14:textId="77777777" w:rsidR="00E7351F" w:rsidRPr="00976042" w:rsidRDefault="00E7351F" w:rsidP="00E7351F">
      <w:pPr>
        <w:jc w:val="both"/>
        <w:rPr>
          <w:lang w:val="bs-Latn-BA"/>
        </w:rPr>
      </w:pPr>
      <w:r w:rsidRPr="00976042">
        <w:rPr>
          <w:lang w:val="bs-Latn-BA"/>
        </w:rPr>
        <w:t xml:space="preserve">Poboljšana uredska radna stanica (u daljnjem tekstu: poboljšana radna stanica) dodjeljuje se krajnjem korisniku samo u slučaju kada standardna uredska radna stanica ne </w:t>
      </w:r>
      <w:proofErr w:type="spellStart"/>
      <w:r w:rsidRPr="00976042">
        <w:rPr>
          <w:lang w:val="bs-Latn-BA"/>
        </w:rPr>
        <w:t>podržava</w:t>
      </w:r>
      <w:proofErr w:type="spellEnd"/>
      <w:r w:rsidRPr="00976042">
        <w:rPr>
          <w:lang w:val="bs-Latn-BA"/>
        </w:rPr>
        <w:t xml:space="preserve"> poslovne funkcije koje izvodi krajnji korisnik. Poboljšana radna stanica </w:t>
      </w:r>
      <w:proofErr w:type="spellStart"/>
      <w:r w:rsidRPr="00976042">
        <w:rPr>
          <w:lang w:val="bs-Latn-BA"/>
        </w:rPr>
        <w:t>podržava</w:t>
      </w:r>
      <w:proofErr w:type="spellEnd"/>
      <w:r w:rsidRPr="00976042">
        <w:rPr>
          <w:lang w:val="bs-Latn-BA"/>
        </w:rPr>
        <w:t xml:space="preserve"> aplikacije za uredsku produktivnost kao što su e</w:t>
      </w:r>
      <w:r w:rsidRPr="00976042">
        <w:rPr>
          <w:b/>
          <w:lang w:val="bs-Latn-BA"/>
        </w:rPr>
        <w:t>-</w:t>
      </w:r>
      <w:r w:rsidRPr="00976042">
        <w:rPr>
          <w:lang w:val="bs-Latn-BA"/>
        </w:rPr>
        <w:t>mail, obrada teksta, proračunske tabele, internet aplikacija, predstavljanja, pregledanje PDF dokumenata i grafičkih slika. Dodatne funkcije uključuju: razvoj poslovnih programa, upravljanje projektima, statističku analizu, stolno izdavaštvo, multimedijalni razvoj, baze podataka.</w:t>
      </w:r>
    </w:p>
    <w:p w14:paraId="1BAD03CF" w14:textId="77777777" w:rsidR="00E7351F" w:rsidRPr="00976042" w:rsidRDefault="00E7351F" w:rsidP="00E7351F">
      <w:pPr>
        <w:rPr>
          <w:lang w:val="bs-Latn-BA"/>
        </w:rPr>
      </w:pPr>
    </w:p>
    <w:p w14:paraId="5777D226" w14:textId="77777777" w:rsidR="00E7351F" w:rsidRPr="00976042" w:rsidRDefault="00E7351F" w:rsidP="00E7351F">
      <w:pPr>
        <w:pStyle w:val="ListParagraph"/>
        <w:numPr>
          <w:ilvl w:val="0"/>
          <w:numId w:val="2"/>
        </w:numPr>
        <w:rPr>
          <w:b/>
          <w:lang w:val="bs-Latn-BA"/>
        </w:rPr>
      </w:pPr>
      <w:r w:rsidRPr="00976042">
        <w:rPr>
          <w:b/>
          <w:lang w:val="bs-Latn-BA"/>
        </w:rPr>
        <w:t>Napredna uredska radna stanica</w:t>
      </w:r>
    </w:p>
    <w:p w14:paraId="2AC5CD41" w14:textId="77777777" w:rsidR="00E7351F" w:rsidRPr="00976042" w:rsidRDefault="00E7351F" w:rsidP="00E7351F">
      <w:pPr>
        <w:rPr>
          <w:lang w:val="bs-Latn-BA"/>
        </w:rPr>
      </w:pPr>
    </w:p>
    <w:p w14:paraId="015FFB1A" w14:textId="77777777" w:rsidR="00E7351F" w:rsidRPr="00976042" w:rsidRDefault="00E7351F" w:rsidP="00E7351F">
      <w:pPr>
        <w:jc w:val="both"/>
        <w:rPr>
          <w:lang w:val="bs-Latn-BA"/>
        </w:rPr>
      </w:pPr>
      <w:r w:rsidRPr="00976042">
        <w:rPr>
          <w:lang w:val="bs-Latn-BA"/>
        </w:rPr>
        <w:t xml:space="preserve">Napredna uredska radna stanica (u daljnjem tekstu: napredna radna stanica) dodjeljuje se krajnjem korisniku samo u slučaju kada standardna radna stanica ili poboljšana radna stanica ne </w:t>
      </w:r>
      <w:proofErr w:type="spellStart"/>
      <w:r w:rsidRPr="00976042">
        <w:rPr>
          <w:lang w:val="bs-Latn-BA"/>
        </w:rPr>
        <w:t>podržava</w:t>
      </w:r>
      <w:proofErr w:type="spellEnd"/>
      <w:r w:rsidRPr="00976042">
        <w:rPr>
          <w:lang w:val="bs-Latn-BA"/>
        </w:rPr>
        <w:t xml:space="preserve"> poslovne funkcije koje izvodi krajnji korisnik. Napredna radna stanica je konfigurirana tako da </w:t>
      </w:r>
      <w:proofErr w:type="spellStart"/>
      <w:r w:rsidRPr="00976042">
        <w:rPr>
          <w:lang w:val="bs-Latn-BA"/>
        </w:rPr>
        <w:lastRenderedPageBreak/>
        <w:t>podržava</w:t>
      </w:r>
      <w:proofErr w:type="spellEnd"/>
      <w:r w:rsidRPr="00976042">
        <w:rPr>
          <w:lang w:val="bs-Latn-BA"/>
        </w:rPr>
        <w:t xml:space="preserve"> „</w:t>
      </w:r>
      <w:proofErr w:type="spellStart"/>
      <w:r w:rsidRPr="00976042">
        <w:rPr>
          <w:lang w:val="bs-Latn-BA"/>
        </w:rPr>
        <w:t>high</w:t>
      </w:r>
      <w:r w:rsidRPr="00976042">
        <w:rPr>
          <w:b/>
          <w:lang w:val="bs-Latn-BA"/>
        </w:rPr>
        <w:t>-</w:t>
      </w:r>
      <w:r w:rsidRPr="00976042">
        <w:rPr>
          <w:lang w:val="bs-Latn-BA"/>
        </w:rPr>
        <w:t>end</w:t>
      </w:r>
      <w:proofErr w:type="spellEnd"/>
      <w:r w:rsidRPr="00976042">
        <w:rPr>
          <w:lang w:val="bs-Latn-BA"/>
        </w:rPr>
        <w:t>“ aplikacije i napredne grafike i sposobnosti potrebne za modeliranje prostornih informacionih sistema (GIS), softverski dizajn i razvoj ili inženjerske aplikacije. Ovaj model računarske platforme namijenjen je stručnjacima za operacije i funkcije koje zahtijevaju veliku procesorsku snagu i veliku količinu radne memorije na lokalnoj radnoj stanici.</w:t>
      </w:r>
    </w:p>
    <w:p w14:paraId="5A30C8AB" w14:textId="77777777" w:rsidR="00E7351F" w:rsidRPr="00976042" w:rsidRDefault="00E7351F" w:rsidP="00E7351F">
      <w:pPr>
        <w:jc w:val="both"/>
        <w:rPr>
          <w:lang w:val="bs-Latn-BA"/>
        </w:rPr>
      </w:pPr>
    </w:p>
    <w:p w14:paraId="1C8F391E" w14:textId="77777777" w:rsidR="00E7351F" w:rsidRPr="00976042" w:rsidRDefault="00E7351F" w:rsidP="00E7351F">
      <w:pPr>
        <w:pStyle w:val="ListParagraph"/>
        <w:numPr>
          <w:ilvl w:val="0"/>
          <w:numId w:val="2"/>
        </w:numPr>
        <w:rPr>
          <w:b/>
          <w:lang w:val="bs-Latn-BA"/>
        </w:rPr>
      </w:pPr>
      <w:r w:rsidRPr="00976042">
        <w:rPr>
          <w:b/>
          <w:lang w:val="bs-Latn-BA"/>
        </w:rPr>
        <w:t>Mobilna radna stanica</w:t>
      </w:r>
    </w:p>
    <w:p w14:paraId="3D8EEF8B" w14:textId="77777777" w:rsidR="00E7351F" w:rsidRPr="00976042" w:rsidRDefault="00E7351F" w:rsidP="00E7351F">
      <w:pPr>
        <w:rPr>
          <w:lang w:val="bs-Latn-BA"/>
        </w:rPr>
      </w:pPr>
    </w:p>
    <w:p w14:paraId="2F887174" w14:textId="77777777" w:rsidR="00E7351F" w:rsidRPr="00976042" w:rsidRDefault="00E7351F" w:rsidP="00E7351F">
      <w:pPr>
        <w:jc w:val="both"/>
        <w:rPr>
          <w:lang w:val="bs-Latn-BA"/>
        </w:rPr>
      </w:pPr>
      <w:r w:rsidRPr="00976042">
        <w:rPr>
          <w:lang w:val="bs-Latn-BA"/>
        </w:rPr>
        <w:t xml:space="preserve">Mobilna radna stanica dodjeljuje se krajnjem korisniku u slučajevima kada ostale uredske radne stanice ne </w:t>
      </w:r>
      <w:proofErr w:type="spellStart"/>
      <w:r w:rsidRPr="00976042">
        <w:rPr>
          <w:lang w:val="bs-Latn-BA"/>
        </w:rPr>
        <w:t>podržavaju</w:t>
      </w:r>
      <w:proofErr w:type="spellEnd"/>
      <w:r w:rsidRPr="00976042">
        <w:rPr>
          <w:lang w:val="bs-Latn-BA"/>
        </w:rPr>
        <w:t xml:space="preserve">, odnosno ne mogu izvršiti redovne poslovne funkcije koje se izvode prilikom službenih putovanja, rada na terenu i/ili </w:t>
      </w:r>
      <w:proofErr w:type="spellStart"/>
      <w:r w:rsidRPr="00976042">
        <w:rPr>
          <w:lang w:val="bs-Latn-BA"/>
        </w:rPr>
        <w:t>održavanja</w:t>
      </w:r>
      <w:proofErr w:type="spellEnd"/>
      <w:r w:rsidRPr="00976042">
        <w:rPr>
          <w:lang w:val="bs-Latn-BA"/>
        </w:rPr>
        <w:t xml:space="preserve"> kontinuiteta poslovanja krajnjeg korisnika. Mobilna radna stanica </w:t>
      </w:r>
      <w:proofErr w:type="spellStart"/>
      <w:r w:rsidRPr="00976042">
        <w:rPr>
          <w:lang w:val="bs-Latn-BA"/>
        </w:rPr>
        <w:t>podržava</w:t>
      </w:r>
      <w:proofErr w:type="spellEnd"/>
      <w:r w:rsidRPr="00976042">
        <w:rPr>
          <w:lang w:val="bs-Latn-BA"/>
        </w:rPr>
        <w:t xml:space="preserve"> aplikacije za uredsku produktivnost kao što su e</w:t>
      </w:r>
      <w:r w:rsidRPr="00976042">
        <w:rPr>
          <w:b/>
          <w:lang w:val="bs-Latn-BA"/>
        </w:rPr>
        <w:t>-</w:t>
      </w:r>
      <w:r w:rsidRPr="00976042">
        <w:rPr>
          <w:lang w:val="bs-Latn-BA"/>
        </w:rPr>
        <w:t>mail, obrada teksta, proračunske tabele, internet aplikacije, predstavljanja i pregledanje PDF dokumenata i grafičkih slika. Dodatne funkcije mogu uključivati: razvoj poslovnih programa, upravljanje projektima, statističku analizu, stolno izdavaštvo, multimedijalni razvoj, baze podataka.</w:t>
      </w:r>
    </w:p>
    <w:p w14:paraId="20752D55" w14:textId="77777777" w:rsidR="00E7351F" w:rsidRPr="00976042" w:rsidRDefault="00E7351F" w:rsidP="00E7351F">
      <w:pPr>
        <w:jc w:val="both"/>
        <w:rPr>
          <w:lang w:val="bs-Latn-BA"/>
        </w:rPr>
      </w:pPr>
      <w:r w:rsidRPr="00976042">
        <w:rPr>
          <w:lang w:val="bs-Latn-BA"/>
        </w:rPr>
        <w:t>Na osnovu poslovnih potreba, dodatni vanjski uređaji, kao što je DVD uređaj, mogu se dodati u osnovnu hardversku konfiguraciju.</w:t>
      </w:r>
    </w:p>
    <w:p w14:paraId="4A58E694" w14:textId="77777777" w:rsidR="00E7351F" w:rsidRPr="00976042" w:rsidRDefault="00E7351F" w:rsidP="00E7351F">
      <w:pPr>
        <w:rPr>
          <w:lang w:val="bs-Latn-BA"/>
        </w:rPr>
      </w:pPr>
    </w:p>
    <w:p w14:paraId="4F92874B" w14:textId="77777777" w:rsidR="00E7351F" w:rsidRPr="00976042" w:rsidRDefault="00E7351F" w:rsidP="00E7351F">
      <w:pPr>
        <w:pStyle w:val="ListParagraph"/>
        <w:numPr>
          <w:ilvl w:val="0"/>
          <w:numId w:val="2"/>
        </w:numPr>
        <w:rPr>
          <w:b/>
          <w:lang w:val="bs-Latn-BA"/>
        </w:rPr>
      </w:pPr>
      <w:r w:rsidRPr="00976042">
        <w:rPr>
          <w:b/>
          <w:lang w:val="bs-Latn-BA"/>
        </w:rPr>
        <w:t>Napredna mobilna radna stanica</w:t>
      </w:r>
    </w:p>
    <w:p w14:paraId="435D25AF" w14:textId="77777777" w:rsidR="00E7351F" w:rsidRPr="00976042" w:rsidRDefault="00E7351F" w:rsidP="00E7351F">
      <w:pPr>
        <w:jc w:val="both"/>
        <w:rPr>
          <w:lang w:val="bs-Latn-BA"/>
        </w:rPr>
      </w:pPr>
    </w:p>
    <w:p w14:paraId="677B7174" w14:textId="77777777" w:rsidR="00E7351F" w:rsidRPr="00976042" w:rsidRDefault="00E7351F" w:rsidP="00E7351F">
      <w:pPr>
        <w:jc w:val="both"/>
        <w:rPr>
          <w:lang w:val="bs-Latn-BA"/>
        </w:rPr>
      </w:pPr>
      <w:r w:rsidRPr="00976042">
        <w:rPr>
          <w:lang w:val="bs-Latn-BA"/>
        </w:rPr>
        <w:t xml:space="preserve">Napredne mobilne radne stanice može koristiti krajnji korisnik u slučajevima kada različite uredske radne stanice ne </w:t>
      </w:r>
      <w:proofErr w:type="spellStart"/>
      <w:r w:rsidRPr="00976042">
        <w:rPr>
          <w:lang w:val="bs-Latn-BA"/>
        </w:rPr>
        <w:t>podržavaju</w:t>
      </w:r>
      <w:proofErr w:type="spellEnd"/>
      <w:r w:rsidRPr="00976042">
        <w:rPr>
          <w:lang w:val="bs-Latn-BA"/>
        </w:rPr>
        <w:t xml:space="preserve"> poslovne funkcije koje se izvode zbog redovnih službenih putovanja, rada na terenu i/ili kontinuiteta u poslovanju.</w:t>
      </w:r>
    </w:p>
    <w:p w14:paraId="05BC68E7" w14:textId="77777777" w:rsidR="00E7351F" w:rsidRPr="00976042" w:rsidRDefault="00E7351F" w:rsidP="00E7351F">
      <w:pPr>
        <w:jc w:val="both"/>
        <w:rPr>
          <w:lang w:val="bs-Latn-BA"/>
        </w:rPr>
      </w:pPr>
      <w:r w:rsidRPr="00976042">
        <w:rPr>
          <w:lang w:val="bs-Latn-BA"/>
        </w:rPr>
        <w:t xml:space="preserve">Napredna mobilna radna stanica konfigurirana je tako da </w:t>
      </w:r>
      <w:proofErr w:type="spellStart"/>
      <w:r w:rsidRPr="00976042">
        <w:rPr>
          <w:lang w:val="bs-Latn-BA"/>
        </w:rPr>
        <w:t>podržava</w:t>
      </w:r>
      <w:proofErr w:type="spellEnd"/>
      <w:r w:rsidRPr="00976042">
        <w:rPr>
          <w:lang w:val="bs-Latn-BA"/>
        </w:rPr>
        <w:t xml:space="preserve"> „</w:t>
      </w:r>
      <w:proofErr w:type="spellStart"/>
      <w:r w:rsidRPr="00976042">
        <w:rPr>
          <w:lang w:val="bs-Latn-BA"/>
        </w:rPr>
        <w:t>high</w:t>
      </w:r>
      <w:r w:rsidRPr="00976042">
        <w:rPr>
          <w:b/>
          <w:lang w:val="bs-Latn-BA"/>
        </w:rPr>
        <w:t>-</w:t>
      </w:r>
      <w:r w:rsidRPr="00976042">
        <w:rPr>
          <w:lang w:val="bs-Latn-BA"/>
        </w:rPr>
        <w:t>end</w:t>
      </w:r>
      <w:proofErr w:type="spellEnd"/>
      <w:r w:rsidRPr="00976042">
        <w:rPr>
          <w:lang w:val="bs-Latn-BA"/>
        </w:rPr>
        <w:t xml:space="preserve">“ aplikacije i napredne grafike i karakteristike potrebne za modeliranje prostornih informacionih sistema (GIS), softverski dizajn i razvoj ili složene inženjerske aplikacije koje podrazumijevaju </w:t>
      </w:r>
      <w:proofErr w:type="spellStart"/>
      <w:r w:rsidRPr="00976042">
        <w:rPr>
          <w:lang w:val="bs-Latn-BA"/>
        </w:rPr>
        <w:t>održavanje</w:t>
      </w:r>
      <w:proofErr w:type="spellEnd"/>
      <w:r w:rsidRPr="00976042">
        <w:rPr>
          <w:lang w:val="bs-Latn-BA"/>
        </w:rPr>
        <w:t>, nadgledanje i razvoj informacionih sistema. Ovaj model računarske platforme  namijenjen je stručnjacima za predmete koji zahtijevaju najvišu procesorsku snagu na mobilnoj radnoj stanici.</w:t>
      </w:r>
    </w:p>
    <w:p w14:paraId="28111FC4" w14:textId="77777777" w:rsidR="00E7351F" w:rsidRPr="00976042" w:rsidRDefault="00E7351F" w:rsidP="00E7351F">
      <w:pPr>
        <w:rPr>
          <w:lang w:val="bs-Latn-BA"/>
        </w:rPr>
      </w:pPr>
      <w:r w:rsidRPr="00976042">
        <w:rPr>
          <w:lang w:val="bs-Latn-BA"/>
        </w:rPr>
        <w:t>Na osnovu poslovnih potreba, dodatni vanjski uređaji, kao što je DVD uređaj, mogu se dodati u osnovnu hardversku konfiguraciju.</w:t>
      </w:r>
    </w:p>
    <w:p w14:paraId="33FC5E5F" w14:textId="77777777" w:rsidR="00E7351F" w:rsidRPr="00976042" w:rsidRDefault="00E7351F" w:rsidP="00E7351F">
      <w:pPr>
        <w:rPr>
          <w:lang w:val="bs-Latn-BA"/>
        </w:rPr>
      </w:pPr>
    </w:p>
    <w:p w14:paraId="73BD36E1" w14:textId="77777777" w:rsidR="00E7351F" w:rsidRPr="00976042" w:rsidRDefault="00E7351F" w:rsidP="00E7351F">
      <w:pPr>
        <w:pStyle w:val="ListParagraph"/>
        <w:numPr>
          <w:ilvl w:val="0"/>
          <w:numId w:val="2"/>
        </w:numPr>
        <w:rPr>
          <w:b/>
          <w:lang w:val="bs-Latn-BA"/>
        </w:rPr>
      </w:pPr>
      <w:r w:rsidRPr="00976042">
        <w:rPr>
          <w:b/>
          <w:lang w:val="bs-Latn-BA"/>
        </w:rPr>
        <w:t>Ostale hardverske komponente</w:t>
      </w:r>
    </w:p>
    <w:p w14:paraId="3CEF43CF" w14:textId="77777777" w:rsidR="00E7351F" w:rsidRPr="00976042" w:rsidRDefault="00E7351F" w:rsidP="00E7351F">
      <w:pPr>
        <w:rPr>
          <w:lang w:val="bs-Latn-BA"/>
        </w:rPr>
      </w:pPr>
    </w:p>
    <w:p w14:paraId="42092F98" w14:textId="77777777" w:rsidR="00E7351F" w:rsidRPr="00976042" w:rsidRDefault="00E7351F" w:rsidP="00E7351F">
      <w:pPr>
        <w:jc w:val="both"/>
        <w:rPr>
          <w:lang w:val="bs-Latn-BA"/>
        </w:rPr>
      </w:pPr>
      <w:r w:rsidRPr="00976042">
        <w:rPr>
          <w:lang w:val="bs-Latn-BA"/>
        </w:rPr>
        <w:t xml:space="preserve">Vanjske komponente radne stanice osnovnog nivoa, kao što su monitor, tastatura i zvučnici, mogu se osigurati kroz ponovnu upotrebu postojećih zaliha. Na osnovu poslovnih potreba, dodatni unutrašnji i/ili vanjski uređaji, kao što je DVD uređaj, mogu se dodati u osnovnu hardversku konfiguraciju. Preporučuje se integrirana upotreba grafičkih i zvučnih uređaja, osim u izuzetnim okolnostima kada ovakav vid hardverske konfiguracije ne zadovoljava potrebe za </w:t>
      </w:r>
      <w:proofErr w:type="spellStart"/>
      <w:r w:rsidRPr="00976042">
        <w:rPr>
          <w:lang w:val="bs-Latn-BA"/>
        </w:rPr>
        <w:t>izvršavanje</w:t>
      </w:r>
      <w:proofErr w:type="spellEnd"/>
      <w:r w:rsidRPr="00976042">
        <w:rPr>
          <w:lang w:val="bs-Latn-BA"/>
        </w:rPr>
        <w:t xml:space="preserve"> konkretnih radnih zadataka.</w:t>
      </w:r>
    </w:p>
    <w:p w14:paraId="392E286F" w14:textId="77777777" w:rsidR="00E7351F" w:rsidRPr="00976042" w:rsidRDefault="00E7351F" w:rsidP="00E7351F">
      <w:pPr>
        <w:rPr>
          <w:lang w:val="bs-Latn-BA"/>
        </w:rPr>
      </w:pPr>
    </w:p>
    <w:p w14:paraId="3AD1F913" w14:textId="77777777" w:rsidR="00E7351F" w:rsidRPr="00976042" w:rsidRDefault="00E7351F" w:rsidP="00E7351F">
      <w:pPr>
        <w:rPr>
          <w:lang w:val="bs-Latn-BA"/>
        </w:rPr>
      </w:pPr>
    </w:p>
    <w:p w14:paraId="244D2412" w14:textId="77777777" w:rsidR="00E7351F" w:rsidRPr="00976042" w:rsidRDefault="00E7351F" w:rsidP="00E7351F">
      <w:pPr>
        <w:pStyle w:val="ListParagraph"/>
        <w:numPr>
          <w:ilvl w:val="0"/>
          <w:numId w:val="2"/>
        </w:numPr>
        <w:rPr>
          <w:b/>
          <w:lang w:val="bs-Latn-BA"/>
        </w:rPr>
      </w:pPr>
      <w:r w:rsidRPr="00976042">
        <w:rPr>
          <w:b/>
          <w:lang w:val="bs-Latn-BA"/>
        </w:rPr>
        <w:t>Realizacija</w:t>
      </w:r>
    </w:p>
    <w:p w14:paraId="3E6D9C08" w14:textId="77777777" w:rsidR="00E7351F" w:rsidRPr="00976042" w:rsidRDefault="00E7351F" w:rsidP="00E7351F">
      <w:pPr>
        <w:rPr>
          <w:lang w:val="bs-Latn-BA"/>
        </w:rPr>
      </w:pPr>
    </w:p>
    <w:p w14:paraId="0E07C26A" w14:textId="77777777" w:rsidR="00E7351F" w:rsidRPr="00976042" w:rsidRDefault="00E7351F" w:rsidP="00E7351F">
      <w:pPr>
        <w:jc w:val="both"/>
        <w:rPr>
          <w:lang w:val="bs-Latn-BA"/>
        </w:rPr>
      </w:pPr>
      <w:r w:rsidRPr="00976042">
        <w:rPr>
          <w:lang w:val="bs-Latn-BA"/>
        </w:rPr>
        <w:t>Sve radne stanice u institucijama moraju zadovoljavati minimalne tehničke zahtjeve kada je u pitanju hardver, a koji se odnose na procesor, radnu memoriju, tvrdi disk, eksterne priključke, monitor, tastaturu i računarski miš.</w:t>
      </w:r>
    </w:p>
    <w:p w14:paraId="5ABA1860" w14:textId="77777777" w:rsidR="00E7351F" w:rsidRPr="00976042" w:rsidRDefault="00E7351F" w:rsidP="00E7351F">
      <w:pPr>
        <w:jc w:val="both"/>
        <w:rPr>
          <w:lang w:val="bs-Latn-BA"/>
        </w:rPr>
      </w:pPr>
      <w:r w:rsidRPr="00976042">
        <w:rPr>
          <w:lang w:val="bs-Latn-BA"/>
        </w:rPr>
        <w:t xml:space="preserve">Ukoliko radna stanica ne zadovoljava minimalne tehničke karakteristike kada je u pitanju hardver, ista se predlaže za otpis i zamjenjuje se radnom stanicom koja ispunjava tražene tehničke karakteristike. </w:t>
      </w:r>
    </w:p>
    <w:p w14:paraId="3045F9BC" w14:textId="77777777" w:rsidR="00E7351F" w:rsidRPr="00976042" w:rsidRDefault="00E7351F" w:rsidP="00E7351F">
      <w:pPr>
        <w:jc w:val="both"/>
        <w:rPr>
          <w:lang w:val="bs-Latn-BA"/>
        </w:rPr>
      </w:pPr>
      <w:r w:rsidRPr="00976042">
        <w:rPr>
          <w:lang w:val="bs-Latn-BA"/>
        </w:rPr>
        <w:t xml:space="preserve">Nabavka radnih stanica vrši se u skladu sa važećim zakonskim propisima. </w:t>
      </w:r>
    </w:p>
    <w:p w14:paraId="078A797E" w14:textId="77777777" w:rsidR="00E7351F" w:rsidRPr="00976042" w:rsidRDefault="00E7351F" w:rsidP="00E7351F">
      <w:pPr>
        <w:jc w:val="both"/>
        <w:rPr>
          <w:lang w:val="bs-Latn-BA"/>
        </w:rPr>
      </w:pPr>
      <w:r w:rsidRPr="00976042">
        <w:rPr>
          <w:lang w:val="bs-Latn-BA"/>
        </w:rPr>
        <w:lastRenderedPageBreak/>
        <w:t xml:space="preserve">Pored </w:t>
      </w:r>
      <w:proofErr w:type="spellStart"/>
      <w:r w:rsidRPr="00976042">
        <w:rPr>
          <w:lang w:val="bs-Latn-BA"/>
        </w:rPr>
        <w:t>zadovoljavanja</w:t>
      </w:r>
      <w:proofErr w:type="spellEnd"/>
      <w:r w:rsidRPr="00976042">
        <w:rPr>
          <w:lang w:val="bs-Latn-BA"/>
        </w:rPr>
        <w:t xml:space="preserve"> minimalnih tehničkih zahtjeva, jedan od uvjeta za nabavku radnih stanica jeste taj da moraju imati najmanje dvogodišnju garanciju isporučitelja, kao i osigurane rezervne dijelove minimalno pet godina od datuma isporuke.</w:t>
      </w:r>
    </w:p>
    <w:p w14:paraId="6663823B" w14:textId="160FBDF8" w:rsidR="00E7351F" w:rsidRPr="00976042" w:rsidRDefault="00E7351F" w:rsidP="00E7351F">
      <w:pPr>
        <w:jc w:val="both"/>
        <w:rPr>
          <w:lang w:val="bs-Latn-BA"/>
        </w:rPr>
      </w:pPr>
      <w:r w:rsidRPr="00976042">
        <w:rPr>
          <w:lang w:val="bs-Latn-BA"/>
        </w:rPr>
        <w:t xml:space="preserve">Ministarstvo komunikacija i prometa Bosne i Hercegovine na svojoj službenoj internetskoj stranici u decembru tekuće godine za narednu godinu objavljuje minimalne </w:t>
      </w:r>
      <w:r w:rsidR="000D734E" w:rsidRPr="00976042">
        <w:rPr>
          <w:lang w:val="bs-Latn-BA"/>
        </w:rPr>
        <w:t xml:space="preserve">i maksimalne </w:t>
      </w:r>
      <w:r w:rsidR="00E76591" w:rsidRPr="00976042">
        <w:rPr>
          <w:lang w:val="bs-Latn-BA"/>
        </w:rPr>
        <w:t>hardverske karakteristike</w:t>
      </w:r>
      <w:r w:rsidR="00EB65D8" w:rsidRPr="00976042">
        <w:rPr>
          <w:lang w:val="bs-Latn-BA"/>
        </w:rPr>
        <w:t>, brzinu i broj fizičkih jezgri procesora</w:t>
      </w:r>
      <w:r w:rsidR="006D407E" w:rsidRPr="00976042">
        <w:rPr>
          <w:lang w:val="bs-Latn-BA"/>
        </w:rPr>
        <w:t>, kapacitet radne memorije, kapacitet tvrdog diska</w:t>
      </w:r>
      <w:r w:rsidR="00EE57C8" w:rsidRPr="00976042">
        <w:rPr>
          <w:lang w:val="bs-Latn-BA"/>
        </w:rPr>
        <w:t>, eksterni priključak</w:t>
      </w:r>
      <w:r w:rsidR="0092214C" w:rsidRPr="00976042">
        <w:rPr>
          <w:lang w:val="bs-Latn-BA"/>
        </w:rPr>
        <w:t>, veličinu monitora, za svaku vrstu radne stanice</w:t>
      </w:r>
      <w:r w:rsidR="00163585" w:rsidRPr="00976042">
        <w:rPr>
          <w:lang w:val="bs-Latn-BA"/>
        </w:rPr>
        <w:t xml:space="preserve"> na za to propisanom obrascu, </w:t>
      </w:r>
      <w:r w:rsidRPr="00976042">
        <w:rPr>
          <w:lang w:val="bs-Latn-BA"/>
        </w:rPr>
        <w:t xml:space="preserve">na osnovu kojih će institucije </w:t>
      </w:r>
      <w:r w:rsidR="00451158" w:rsidRPr="00976042">
        <w:rPr>
          <w:lang w:val="bs-Latn-BA"/>
        </w:rPr>
        <w:t xml:space="preserve">Bosne i Hercegovine </w:t>
      </w:r>
      <w:r w:rsidRPr="00976042">
        <w:rPr>
          <w:lang w:val="bs-Latn-BA"/>
        </w:rPr>
        <w:t>nabav</w:t>
      </w:r>
      <w:r w:rsidR="00B95655" w:rsidRPr="00976042">
        <w:rPr>
          <w:lang w:val="bs-Latn-BA"/>
        </w:rPr>
        <w:t>ljati</w:t>
      </w:r>
      <w:r w:rsidRPr="00976042">
        <w:rPr>
          <w:lang w:val="bs-Latn-BA"/>
        </w:rPr>
        <w:t xml:space="preserve"> računarsk</w:t>
      </w:r>
      <w:r w:rsidR="00B95655" w:rsidRPr="00976042">
        <w:rPr>
          <w:lang w:val="bs-Latn-BA"/>
        </w:rPr>
        <w:t>u</w:t>
      </w:r>
      <w:r w:rsidRPr="00976042">
        <w:rPr>
          <w:lang w:val="bs-Latn-BA"/>
        </w:rPr>
        <w:t xml:space="preserve"> oprem</w:t>
      </w:r>
      <w:r w:rsidR="00A84368" w:rsidRPr="00976042">
        <w:rPr>
          <w:lang w:val="bs-Latn-BA"/>
        </w:rPr>
        <w:t>u</w:t>
      </w:r>
      <w:r w:rsidRPr="00976042">
        <w:rPr>
          <w:lang w:val="bs-Latn-BA"/>
        </w:rPr>
        <w:t xml:space="preserve">. Odabir tipa desktopa i mobilne radne stanice prilikom njihove nabavke </w:t>
      </w:r>
      <w:r w:rsidR="00372598" w:rsidRPr="00976042">
        <w:rPr>
          <w:lang w:val="bs-Latn-BA"/>
        </w:rPr>
        <w:t>radi</w:t>
      </w:r>
      <w:r w:rsidRPr="00976042">
        <w:rPr>
          <w:lang w:val="bs-Latn-BA"/>
        </w:rPr>
        <w:t xml:space="preserve"> se na osnovu potreba zaposlenih. </w:t>
      </w:r>
    </w:p>
    <w:p w14:paraId="1287F8C3" w14:textId="77777777" w:rsidR="00E7351F" w:rsidRPr="00976042" w:rsidRDefault="00E7351F" w:rsidP="00E7351F">
      <w:pPr>
        <w:autoSpaceDE w:val="0"/>
        <w:autoSpaceDN w:val="0"/>
        <w:adjustRightInd w:val="0"/>
        <w:jc w:val="both"/>
        <w:rPr>
          <w:strike/>
          <w:lang w:val="bs-Latn-BA"/>
        </w:rPr>
      </w:pPr>
      <w:r w:rsidRPr="00976042">
        <w:rPr>
          <w:lang w:val="bs-Latn-BA"/>
        </w:rPr>
        <w:t>U skladu sa poslovnim zahtjevima definiranim sistematizacijom poslova i radnih zadataka u institucijama, prijedlog raspodjele radnih stanica u institucijama vrši sektor/odsjek zadužen za informaciono</w:t>
      </w:r>
      <w:r w:rsidRPr="00976042">
        <w:rPr>
          <w:b/>
          <w:bCs/>
          <w:lang w:val="bs-Latn-BA"/>
        </w:rPr>
        <w:t>-</w:t>
      </w:r>
      <w:r w:rsidRPr="00976042">
        <w:rPr>
          <w:lang w:val="bs-Latn-BA"/>
        </w:rPr>
        <w:t>komunikacione tehnologije, odnosno kvalificirano osoblje iz oblasti informaciono</w:t>
      </w:r>
      <w:r w:rsidRPr="00976042">
        <w:rPr>
          <w:b/>
          <w:bCs/>
          <w:lang w:val="bs-Latn-BA"/>
        </w:rPr>
        <w:t>-</w:t>
      </w:r>
      <w:r w:rsidRPr="00976042">
        <w:rPr>
          <w:lang w:val="bs-Latn-BA"/>
        </w:rPr>
        <w:t>komunikacionih tehnologija. Izuzetak čine institucije koje nemaju sektor/odsjek zadužen za informaciono-komunikacione tehnologije, odnosno kvalificirano osoblje iz oblasti informaciono</w:t>
      </w:r>
      <w:r w:rsidRPr="00976042">
        <w:rPr>
          <w:b/>
          <w:bCs/>
          <w:lang w:val="bs-Latn-BA"/>
        </w:rPr>
        <w:t>-</w:t>
      </w:r>
      <w:r w:rsidRPr="00976042">
        <w:rPr>
          <w:lang w:val="bs-Latn-BA"/>
        </w:rPr>
        <w:t xml:space="preserve">komunikacionih tehnologija, gdje prijedlog raspodjele radnih stanica obavljaju rukovodeći državni službenici koje ovlasti </w:t>
      </w:r>
      <w:proofErr w:type="spellStart"/>
      <w:r w:rsidRPr="00976042">
        <w:rPr>
          <w:lang w:val="bs-Latn-BA"/>
        </w:rPr>
        <w:t>rukovoditelj</w:t>
      </w:r>
      <w:proofErr w:type="spellEnd"/>
      <w:r w:rsidRPr="00976042">
        <w:rPr>
          <w:lang w:val="bs-Latn-BA"/>
        </w:rPr>
        <w:t xml:space="preserve"> institucije.</w:t>
      </w:r>
    </w:p>
    <w:p w14:paraId="055F16D4" w14:textId="77777777" w:rsidR="00E7351F" w:rsidRPr="00976042" w:rsidRDefault="00E7351F" w:rsidP="00E7351F">
      <w:pPr>
        <w:jc w:val="both"/>
        <w:rPr>
          <w:lang w:val="bs-Latn-BA"/>
        </w:rPr>
      </w:pPr>
    </w:p>
    <w:p w14:paraId="2BFB6928" w14:textId="77777777" w:rsidR="00E7351F" w:rsidRPr="00976042" w:rsidRDefault="00E7351F" w:rsidP="00E7351F">
      <w:pPr>
        <w:pStyle w:val="ListParagraph"/>
        <w:numPr>
          <w:ilvl w:val="0"/>
          <w:numId w:val="2"/>
        </w:numPr>
        <w:jc w:val="both"/>
        <w:rPr>
          <w:b/>
          <w:lang w:val="bs-Latn-BA"/>
        </w:rPr>
      </w:pPr>
      <w:r w:rsidRPr="00976042">
        <w:rPr>
          <w:b/>
          <w:lang w:val="bs-Latn-BA"/>
        </w:rPr>
        <w:t>Zamjena radne stanice</w:t>
      </w:r>
    </w:p>
    <w:p w14:paraId="66FDE877" w14:textId="77777777" w:rsidR="00E7351F" w:rsidRPr="00976042" w:rsidRDefault="00E7351F" w:rsidP="00E7351F">
      <w:pPr>
        <w:jc w:val="both"/>
        <w:rPr>
          <w:lang w:val="bs-Latn-BA"/>
        </w:rPr>
      </w:pPr>
    </w:p>
    <w:p w14:paraId="35CBFB44" w14:textId="77777777" w:rsidR="00E7351F" w:rsidRPr="00976042" w:rsidRDefault="00E7351F" w:rsidP="00E7351F">
      <w:pPr>
        <w:jc w:val="both"/>
        <w:rPr>
          <w:lang w:val="bs-Latn-BA"/>
        </w:rPr>
      </w:pPr>
      <w:r w:rsidRPr="00976042">
        <w:rPr>
          <w:lang w:val="bs-Latn-BA"/>
        </w:rPr>
        <w:t xml:space="preserve">Konfiguracioni zahtjevi za svaku radnu stanicu ažuriraju se na godišnjem nivou na osnovu  komercijalno dostupnih tehnologija koje se nude na tržištu. </w:t>
      </w:r>
    </w:p>
    <w:p w14:paraId="6D7337F7" w14:textId="77777777" w:rsidR="00E7351F" w:rsidRPr="00976042" w:rsidRDefault="00E7351F" w:rsidP="00E7351F">
      <w:pPr>
        <w:jc w:val="both"/>
        <w:rPr>
          <w:lang w:val="bs-Latn-BA"/>
        </w:rPr>
      </w:pPr>
    </w:p>
    <w:p w14:paraId="7836FDE1" w14:textId="77777777" w:rsidR="00E7351F" w:rsidRPr="00976042" w:rsidRDefault="00E7351F" w:rsidP="00E7351F">
      <w:pPr>
        <w:jc w:val="both"/>
        <w:rPr>
          <w:lang w:val="bs-Latn-BA"/>
        </w:rPr>
      </w:pPr>
      <w:r w:rsidRPr="00976042">
        <w:rPr>
          <w:lang w:val="bs-Latn-BA"/>
        </w:rPr>
        <w:t>Preporučeni rok upotrebe za svaki tip radne stanice prikazan je u sljedećoj tabeli:</w:t>
      </w:r>
    </w:p>
    <w:p w14:paraId="70B6AA61" w14:textId="77777777" w:rsidR="00E7351F" w:rsidRPr="00976042" w:rsidRDefault="00E7351F" w:rsidP="00E7351F">
      <w:pPr>
        <w:rPr>
          <w:lang w:val="bs-Latn-BA"/>
        </w:rPr>
      </w:pPr>
    </w:p>
    <w:tbl>
      <w:tblPr>
        <w:tblStyle w:val="TableGrid"/>
        <w:tblW w:w="5807" w:type="dxa"/>
        <w:jc w:val="center"/>
        <w:tblLook w:val="04A0" w:firstRow="1" w:lastRow="0" w:firstColumn="1" w:lastColumn="0" w:noHBand="0" w:noVBand="1"/>
      </w:tblPr>
      <w:tblGrid>
        <w:gridCol w:w="3256"/>
        <w:gridCol w:w="2551"/>
      </w:tblGrid>
      <w:tr w:rsidR="00E7351F" w:rsidRPr="00976042" w14:paraId="37F66B9E" w14:textId="77777777" w:rsidTr="00544BBC">
        <w:trPr>
          <w:jc w:val="center"/>
        </w:trPr>
        <w:tc>
          <w:tcPr>
            <w:tcW w:w="3256" w:type="dxa"/>
            <w:vAlign w:val="center"/>
          </w:tcPr>
          <w:p w14:paraId="2AB33F01" w14:textId="77777777" w:rsidR="00E7351F" w:rsidRPr="00976042" w:rsidRDefault="00E7351F" w:rsidP="00544BBC">
            <w:pPr>
              <w:jc w:val="center"/>
              <w:rPr>
                <w:b/>
                <w:sz w:val="20"/>
                <w:szCs w:val="20"/>
                <w:lang w:val="bs-Latn-BA"/>
              </w:rPr>
            </w:pPr>
            <w:r w:rsidRPr="00976042">
              <w:rPr>
                <w:b/>
                <w:sz w:val="20"/>
                <w:szCs w:val="20"/>
                <w:lang w:val="bs-Latn-BA"/>
              </w:rPr>
              <w:t>Vrste radnih stanica</w:t>
            </w:r>
          </w:p>
        </w:tc>
        <w:tc>
          <w:tcPr>
            <w:tcW w:w="2551" w:type="dxa"/>
            <w:vAlign w:val="center"/>
          </w:tcPr>
          <w:p w14:paraId="3984D544" w14:textId="77777777" w:rsidR="00E7351F" w:rsidRPr="00976042" w:rsidRDefault="00E7351F" w:rsidP="00544BBC">
            <w:pPr>
              <w:jc w:val="center"/>
              <w:rPr>
                <w:sz w:val="20"/>
                <w:szCs w:val="20"/>
                <w:lang w:val="bs-Latn-BA"/>
              </w:rPr>
            </w:pPr>
            <w:r w:rsidRPr="00976042">
              <w:rPr>
                <w:b/>
                <w:sz w:val="20"/>
                <w:szCs w:val="20"/>
                <w:lang w:val="bs-Latn-BA" w:eastAsia="bs-Latn-BA"/>
              </w:rPr>
              <w:t>Preporučeni rok upotrebe</w:t>
            </w:r>
          </w:p>
        </w:tc>
      </w:tr>
      <w:tr w:rsidR="00E7351F" w:rsidRPr="00976042" w14:paraId="1CDF3D85" w14:textId="77777777" w:rsidTr="00544BBC">
        <w:trPr>
          <w:jc w:val="center"/>
        </w:trPr>
        <w:tc>
          <w:tcPr>
            <w:tcW w:w="3256" w:type="dxa"/>
          </w:tcPr>
          <w:p w14:paraId="038B650B" w14:textId="77777777" w:rsidR="00E7351F" w:rsidRPr="00976042" w:rsidRDefault="00E7351F" w:rsidP="00544BBC">
            <w:pPr>
              <w:rPr>
                <w:sz w:val="20"/>
                <w:szCs w:val="20"/>
                <w:lang w:val="bs-Latn-BA"/>
              </w:rPr>
            </w:pPr>
            <w:r w:rsidRPr="00976042">
              <w:rPr>
                <w:sz w:val="20"/>
                <w:szCs w:val="20"/>
                <w:lang w:val="bs-Latn-BA"/>
              </w:rPr>
              <w:t xml:space="preserve">Standardna radna stanica </w:t>
            </w:r>
          </w:p>
        </w:tc>
        <w:tc>
          <w:tcPr>
            <w:tcW w:w="2551" w:type="dxa"/>
            <w:vAlign w:val="center"/>
          </w:tcPr>
          <w:p w14:paraId="15B005E7" w14:textId="77777777" w:rsidR="00E7351F" w:rsidRPr="00976042" w:rsidRDefault="00E7351F" w:rsidP="00544BBC">
            <w:pPr>
              <w:jc w:val="center"/>
              <w:rPr>
                <w:sz w:val="20"/>
                <w:szCs w:val="20"/>
                <w:lang w:val="bs-Latn-BA"/>
              </w:rPr>
            </w:pPr>
            <w:r w:rsidRPr="00976042">
              <w:rPr>
                <w:sz w:val="20"/>
                <w:szCs w:val="20"/>
                <w:lang w:val="bs-Latn-BA"/>
              </w:rPr>
              <w:t xml:space="preserve"> 7 godina</w:t>
            </w:r>
          </w:p>
        </w:tc>
      </w:tr>
      <w:tr w:rsidR="00E7351F" w:rsidRPr="00976042" w14:paraId="789038F9" w14:textId="77777777" w:rsidTr="00544BBC">
        <w:trPr>
          <w:jc w:val="center"/>
        </w:trPr>
        <w:tc>
          <w:tcPr>
            <w:tcW w:w="3256" w:type="dxa"/>
          </w:tcPr>
          <w:p w14:paraId="3B47DF8C" w14:textId="77777777" w:rsidR="00E7351F" w:rsidRPr="00976042" w:rsidRDefault="00E7351F" w:rsidP="00544BBC">
            <w:pPr>
              <w:rPr>
                <w:sz w:val="20"/>
                <w:szCs w:val="20"/>
                <w:lang w:val="bs-Latn-BA"/>
              </w:rPr>
            </w:pPr>
            <w:r w:rsidRPr="00976042">
              <w:rPr>
                <w:sz w:val="20"/>
                <w:szCs w:val="20"/>
                <w:lang w:val="bs-Latn-BA"/>
              </w:rPr>
              <w:t xml:space="preserve">Poboljšana radna stanica </w:t>
            </w:r>
          </w:p>
        </w:tc>
        <w:tc>
          <w:tcPr>
            <w:tcW w:w="2551" w:type="dxa"/>
            <w:vAlign w:val="center"/>
          </w:tcPr>
          <w:p w14:paraId="4F57DB98" w14:textId="77777777" w:rsidR="00E7351F" w:rsidRPr="00976042" w:rsidRDefault="00E7351F" w:rsidP="00544BBC">
            <w:pPr>
              <w:jc w:val="center"/>
              <w:rPr>
                <w:sz w:val="20"/>
                <w:szCs w:val="20"/>
                <w:lang w:val="bs-Latn-BA"/>
              </w:rPr>
            </w:pPr>
            <w:r w:rsidRPr="00976042">
              <w:rPr>
                <w:sz w:val="20"/>
                <w:szCs w:val="20"/>
                <w:lang w:val="bs-Latn-BA"/>
              </w:rPr>
              <w:t xml:space="preserve"> 7 godina</w:t>
            </w:r>
          </w:p>
        </w:tc>
      </w:tr>
      <w:tr w:rsidR="00E7351F" w:rsidRPr="00976042" w14:paraId="2F630BE5" w14:textId="77777777" w:rsidTr="00544BBC">
        <w:trPr>
          <w:jc w:val="center"/>
        </w:trPr>
        <w:tc>
          <w:tcPr>
            <w:tcW w:w="3256" w:type="dxa"/>
          </w:tcPr>
          <w:p w14:paraId="4FE691BB" w14:textId="77777777" w:rsidR="00E7351F" w:rsidRPr="00976042" w:rsidRDefault="00E7351F" w:rsidP="00544BBC">
            <w:pPr>
              <w:rPr>
                <w:sz w:val="20"/>
                <w:szCs w:val="20"/>
                <w:lang w:val="bs-Latn-BA"/>
              </w:rPr>
            </w:pPr>
            <w:r w:rsidRPr="00976042">
              <w:rPr>
                <w:sz w:val="20"/>
                <w:szCs w:val="20"/>
                <w:lang w:val="bs-Latn-BA"/>
              </w:rPr>
              <w:t xml:space="preserve">Napredna radna stanica </w:t>
            </w:r>
          </w:p>
        </w:tc>
        <w:tc>
          <w:tcPr>
            <w:tcW w:w="2551" w:type="dxa"/>
            <w:vAlign w:val="center"/>
          </w:tcPr>
          <w:p w14:paraId="5B7194B7" w14:textId="77777777" w:rsidR="00E7351F" w:rsidRPr="00976042" w:rsidRDefault="00E7351F" w:rsidP="00544BBC">
            <w:pPr>
              <w:jc w:val="center"/>
              <w:rPr>
                <w:sz w:val="20"/>
                <w:szCs w:val="20"/>
                <w:lang w:val="bs-Latn-BA"/>
              </w:rPr>
            </w:pPr>
            <w:r w:rsidRPr="00976042">
              <w:rPr>
                <w:sz w:val="20"/>
                <w:szCs w:val="20"/>
                <w:lang w:val="bs-Latn-BA"/>
              </w:rPr>
              <w:t xml:space="preserve"> 8 godina</w:t>
            </w:r>
          </w:p>
        </w:tc>
      </w:tr>
      <w:tr w:rsidR="00E7351F" w:rsidRPr="00976042" w14:paraId="42051376" w14:textId="77777777" w:rsidTr="00544BBC">
        <w:trPr>
          <w:jc w:val="center"/>
        </w:trPr>
        <w:tc>
          <w:tcPr>
            <w:tcW w:w="3256" w:type="dxa"/>
          </w:tcPr>
          <w:p w14:paraId="05CC1AC0" w14:textId="77777777" w:rsidR="00E7351F" w:rsidRPr="00976042" w:rsidRDefault="00E7351F" w:rsidP="00544BBC">
            <w:pPr>
              <w:rPr>
                <w:sz w:val="20"/>
                <w:szCs w:val="20"/>
                <w:lang w:val="bs-Latn-BA"/>
              </w:rPr>
            </w:pPr>
            <w:r w:rsidRPr="00976042">
              <w:rPr>
                <w:sz w:val="20"/>
                <w:szCs w:val="20"/>
                <w:lang w:val="bs-Latn-BA"/>
              </w:rPr>
              <w:t xml:space="preserve">Mobilna radna stanica </w:t>
            </w:r>
          </w:p>
        </w:tc>
        <w:tc>
          <w:tcPr>
            <w:tcW w:w="2551" w:type="dxa"/>
            <w:vAlign w:val="center"/>
          </w:tcPr>
          <w:p w14:paraId="022AE0F7" w14:textId="77777777" w:rsidR="00E7351F" w:rsidRPr="00976042" w:rsidRDefault="00E7351F" w:rsidP="00544BBC">
            <w:pPr>
              <w:jc w:val="center"/>
              <w:rPr>
                <w:sz w:val="20"/>
                <w:szCs w:val="20"/>
                <w:lang w:val="bs-Latn-BA"/>
              </w:rPr>
            </w:pPr>
            <w:r w:rsidRPr="00976042">
              <w:rPr>
                <w:sz w:val="20"/>
                <w:szCs w:val="20"/>
                <w:lang w:val="bs-Latn-BA"/>
              </w:rPr>
              <w:t xml:space="preserve"> 7 godina</w:t>
            </w:r>
          </w:p>
        </w:tc>
      </w:tr>
      <w:tr w:rsidR="00E7351F" w:rsidRPr="00976042" w14:paraId="15A1E5CC" w14:textId="77777777" w:rsidTr="00544BBC">
        <w:trPr>
          <w:jc w:val="center"/>
        </w:trPr>
        <w:tc>
          <w:tcPr>
            <w:tcW w:w="3256" w:type="dxa"/>
          </w:tcPr>
          <w:p w14:paraId="57C86465" w14:textId="77777777" w:rsidR="00E7351F" w:rsidRPr="00976042" w:rsidRDefault="00E7351F" w:rsidP="00544BBC">
            <w:pPr>
              <w:rPr>
                <w:sz w:val="20"/>
                <w:szCs w:val="20"/>
                <w:lang w:val="bs-Latn-BA"/>
              </w:rPr>
            </w:pPr>
            <w:r w:rsidRPr="00976042">
              <w:rPr>
                <w:sz w:val="20"/>
                <w:szCs w:val="20"/>
                <w:lang w:val="bs-Latn-BA"/>
              </w:rPr>
              <w:t>Napredna mobilna radna stanica</w:t>
            </w:r>
          </w:p>
        </w:tc>
        <w:tc>
          <w:tcPr>
            <w:tcW w:w="2551" w:type="dxa"/>
            <w:vAlign w:val="center"/>
          </w:tcPr>
          <w:p w14:paraId="3DC04EF5" w14:textId="77777777" w:rsidR="00E7351F" w:rsidRPr="00976042" w:rsidRDefault="00E7351F" w:rsidP="00544BBC">
            <w:pPr>
              <w:jc w:val="center"/>
              <w:rPr>
                <w:sz w:val="20"/>
                <w:szCs w:val="20"/>
                <w:lang w:val="bs-Latn-BA"/>
              </w:rPr>
            </w:pPr>
            <w:r w:rsidRPr="00976042">
              <w:rPr>
                <w:sz w:val="20"/>
                <w:szCs w:val="20"/>
                <w:lang w:val="bs-Latn-BA"/>
              </w:rPr>
              <w:t xml:space="preserve"> 8 godina</w:t>
            </w:r>
          </w:p>
        </w:tc>
      </w:tr>
    </w:tbl>
    <w:p w14:paraId="7EF97FF3" w14:textId="77777777" w:rsidR="00E7351F" w:rsidRPr="00976042" w:rsidRDefault="00E7351F" w:rsidP="00E7351F">
      <w:pPr>
        <w:rPr>
          <w:lang w:val="bs-Latn-BA"/>
        </w:rPr>
      </w:pPr>
    </w:p>
    <w:p w14:paraId="44AE7A00" w14:textId="77777777" w:rsidR="00E7351F" w:rsidRPr="00976042" w:rsidRDefault="00E7351F" w:rsidP="00E7351F">
      <w:pPr>
        <w:pStyle w:val="ListParagraph"/>
        <w:numPr>
          <w:ilvl w:val="0"/>
          <w:numId w:val="2"/>
        </w:numPr>
        <w:rPr>
          <w:b/>
          <w:lang w:val="bs-Latn-BA"/>
        </w:rPr>
      </w:pPr>
      <w:r w:rsidRPr="00976042">
        <w:rPr>
          <w:b/>
          <w:lang w:val="bs-Latn-BA"/>
        </w:rPr>
        <w:t>Softver</w:t>
      </w:r>
    </w:p>
    <w:p w14:paraId="748B1B0D" w14:textId="77777777" w:rsidR="00E7351F" w:rsidRPr="00976042" w:rsidRDefault="00E7351F" w:rsidP="00E7351F">
      <w:pPr>
        <w:jc w:val="both"/>
        <w:rPr>
          <w:lang w:val="bs-Latn-BA"/>
        </w:rPr>
      </w:pPr>
    </w:p>
    <w:p w14:paraId="1799C5C0" w14:textId="77777777" w:rsidR="00E7351F" w:rsidRPr="00976042" w:rsidRDefault="00E7351F" w:rsidP="00E7351F">
      <w:pPr>
        <w:jc w:val="both"/>
        <w:rPr>
          <w:lang w:val="bs-Latn-BA"/>
        </w:rPr>
      </w:pPr>
      <w:r w:rsidRPr="00976042">
        <w:rPr>
          <w:lang w:val="bs-Latn-BA"/>
        </w:rPr>
        <w:t>Operativni sistemi i aplikativni softver koji se koristi na radnim stanicama u institucijama mora biti licenciran ili besplatan. Operativni sistemi i aplikativni programi na radnim stanicama mogu biti na bilo kojem jeziku koji je u zvaničnoj upotrebi u Bosni i Hercegovini i na engleskom jeziku.</w:t>
      </w:r>
    </w:p>
    <w:p w14:paraId="01440C54" w14:textId="77777777" w:rsidR="00E7351F" w:rsidRPr="00976042" w:rsidRDefault="00E7351F" w:rsidP="00E7351F">
      <w:pPr>
        <w:jc w:val="both"/>
        <w:rPr>
          <w:lang w:val="bs-Latn-BA"/>
        </w:rPr>
      </w:pPr>
    </w:p>
    <w:p w14:paraId="2A99A11F" w14:textId="77777777" w:rsidR="00E7351F" w:rsidRPr="00976042" w:rsidRDefault="00E7351F" w:rsidP="00E7351F">
      <w:pPr>
        <w:pStyle w:val="ListParagraph"/>
        <w:numPr>
          <w:ilvl w:val="0"/>
          <w:numId w:val="2"/>
        </w:numPr>
        <w:rPr>
          <w:b/>
          <w:lang w:val="bs-Latn-BA"/>
        </w:rPr>
      </w:pPr>
      <w:r w:rsidRPr="00976042">
        <w:rPr>
          <w:b/>
          <w:lang w:val="bs-Latn-BA"/>
        </w:rPr>
        <w:t>Operativni sistem</w:t>
      </w:r>
    </w:p>
    <w:p w14:paraId="62C6FB5A" w14:textId="77777777" w:rsidR="00E7351F" w:rsidRPr="00976042" w:rsidRDefault="00E7351F" w:rsidP="00E7351F">
      <w:pPr>
        <w:jc w:val="both"/>
        <w:rPr>
          <w:lang w:val="bs-Latn-BA"/>
        </w:rPr>
      </w:pPr>
    </w:p>
    <w:p w14:paraId="06A58FEA" w14:textId="77777777" w:rsidR="00E7351F" w:rsidRPr="00976042" w:rsidRDefault="00E7351F" w:rsidP="00E7351F">
      <w:pPr>
        <w:jc w:val="both"/>
        <w:rPr>
          <w:lang w:val="bs-Latn-BA"/>
        </w:rPr>
      </w:pPr>
      <w:r w:rsidRPr="00976042">
        <w:rPr>
          <w:lang w:val="bs-Latn-BA"/>
        </w:rPr>
        <w:t xml:space="preserve">Radne stanice u institucijama opremljene su operativnim sistemom nabavljenim na osnovu ugovora sa ovlaštenom ugovornom korporacijom (u daljnjem tekstu: korporacija), osim u slučajevima kada takav operativni sistem ne može odgovoriti zahtjevima koji su postavljeni za </w:t>
      </w:r>
      <w:proofErr w:type="spellStart"/>
      <w:r w:rsidRPr="00976042">
        <w:rPr>
          <w:lang w:val="bs-Latn-BA"/>
        </w:rPr>
        <w:t>izvršavanje</w:t>
      </w:r>
      <w:proofErr w:type="spellEnd"/>
      <w:r w:rsidRPr="00976042">
        <w:rPr>
          <w:lang w:val="bs-Latn-BA"/>
        </w:rPr>
        <w:t xml:space="preserve"> određenih poslovnih procesa i aplikacija, za čije korištenje odobrenje donosi menadžment institucije.</w:t>
      </w:r>
    </w:p>
    <w:p w14:paraId="188EC87F" w14:textId="77777777" w:rsidR="00E7351F" w:rsidRPr="00976042" w:rsidRDefault="00E7351F" w:rsidP="00E7351F">
      <w:pPr>
        <w:jc w:val="both"/>
        <w:rPr>
          <w:lang w:val="bs-Latn-BA"/>
        </w:rPr>
      </w:pPr>
      <w:r w:rsidRPr="00976042">
        <w:rPr>
          <w:lang w:val="bs-Latn-BA"/>
        </w:rPr>
        <w:t xml:space="preserve">Operativni sistemi koriste se sve do datuma do kada korporacija za njih osigurava sistemsku podršku. Nije dozvoljeno korištenje operativnih sistema za koje korporacija ne daje sistemsku podršku. Kada korporacija objavi da više neće </w:t>
      </w:r>
      <w:proofErr w:type="spellStart"/>
      <w:r w:rsidRPr="00976042">
        <w:rPr>
          <w:lang w:val="bs-Latn-BA"/>
        </w:rPr>
        <w:t>podržavati</w:t>
      </w:r>
      <w:proofErr w:type="spellEnd"/>
      <w:r w:rsidRPr="00976042">
        <w:rPr>
          <w:lang w:val="bs-Latn-BA"/>
        </w:rPr>
        <w:t xml:space="preserve"> određeni servisni paket (Service </w:t>
      </w:r>
      <w:proofErr w:type="spellStart"/>
      <w:r w:rsidRPr="00976042">
        <w:rPr>
          <w:lang w:val="bs-Latn-BA"/>
        </w:rPr>
        <w:t>Pack</w:t>
      </w:r>
      <w:proofErr w:type="spellEnd"/>
      <w:r w:rsidRPr="00976042">
        <w:rPr>
          <w:lang w:val="bs-Latn-BA"/>
        </w:rPr>
        <w:t xml:space="preserve"> - SP) ili verziju operativnog sistema, ona mora biti uklonjena sa radnih stanica najkasnije 60 dana prije završetka sistemske podrške. Svaki novi servisni paket za određeni operativni sistem koji korporacija zvanično objavi mora biti primijenjen u najkraćem mogućem roku. Operativni sistem mora biti nadograđen najnovijim servisnim paketom ili mora biti uklonjen iz mreže.</w:t>
      </w:r>
    </w:p>
    <w:p w14:paraId="38AE645D" w14:textId="77777777" w:rsidR="00E7351F" w:rsidRPr="00976042" w:rsidRDefault="00E7351F" w:rsidP="00E7351F">
      <w:pPr>
        <w:jc w:val="both"/>
        <w:rPr>
          <w:lang w:val="bs-Latn-BA"/>
        </w:rPr>
      </w:pPr>
      <w:r w:rsidRPr="00976042">
        <w:rPr>
          <w:lang w:val="bs-Latn-BA"/>
        </w:rPr>
        <w:lastRenderedPageBreak/>
        <w:t xml:space="preserve">Kritične sigurnosne zakrpe primjenjuje se odmah nakon testiranja, ali ne više od sedam dana nakon objavljivanja. Odgovorna osoba institucije zadužena za informatičko-tehničku podršku mora skenirati minimalno jednom mjesečno instaliran operativni sistem na radnim stanicama kako bi se osiguralo redovno ažuriranje operativnog sistema, osim u slučajevima kada se ažuriranje operativnog sistema vrši automatski. </w:t>
      </w:r>
    </w:p>
    <w:p w14:paraId="154D0E6B" w14:textId="77777777" w:rsidR="00E7351F" w:rsidRPr="00976042" w:rsidRDefault="00E7351F" w:rsidP="00E7351F">
      <w:pPr>
        <w:rPr>
          <w:color w:val="FF0000"/>
          <w:lang w:val="bs-Latn-BA"/>
        </w:rPr>
      </w:pPr>
    </w:p>
    <w:p w14:paraId="482ECF0D" w14:textId="77777777" w:rsidR="00E7351F" w:rsidRPr="00976042" w:rsidRDefault="00E7351F" w:rsidP="00E7351F">
      <w:pPr>
        <w:pStyle w:val="ListParagraph"/>
        <w:numPr>
          <w:ilvl w:val="0"/>
          <w:numId w:val="2"/>
        </w:numPr>
        <w:rPr>
          <w:b/>
          <w:lang w:val="bs-Latn-BA"/>
        </w:rPr>
      </w:pPr>
      <w:r w:rsidRPr="00976042">
        <w:rPr>
          <w:b/>
          <w:lang w:val="bs-Latn-BA"/>
        </w:rPr>
        <w:t>Aplikativni softver</w:t>
      </w:r>
    </w:p>
    <w:p w14:paraId="46C9F7B2" w14:textId="77777777" w:rsidR="00E7351F" w:rsidRPr="00976042" w:rsidRDefault="00E7351F" w:rsidP="00E7351F">
      <w:pPr>
        <w:rPr>
          <w:lang w:val="bs-Latn-BA"/>
        </w:rPr>
      </w:pPr>
    </w:p>
    <w:p w14:paraId="4D303690" w14:textId="77777777" w:rsidR="00E7351F" w:rsidRPr="00976042" w:rsidRDefault="00E7351F" w:rsidP="00E7351F">
      <w:pPr>
        <w:jc w:val="both"/>
        <w:rPr>
          <w:lang w:val="bs-Latn-BA"/>
        </w:rPr>
      </w:pPr>
      <w:r w:rsidRPr="00976042">
        <w:rPr>
          <w:lang w:val="bs-Latn-BA"/>
        </w:rPr>
        <w:t>Svaka radna stanica koja se koristi u institucijama treba imati instaliran aplikativni softver za: obradu teksta, tabela, prezentacija, razmjenu podataka putem elektronske pošte (e-mail) i sl., pregled dokumenata u PDF formatu, kompresiju i dekompresiju podataka, pregled fotografija i videozapisa, pregled internetskih stranica i antivirusnu zaštitu. Preporučuje se da institucije koriste zadnju verziju aplikativnog softvera predviđenog za instalaciju na radnim stanicama korisnika.</w:t>
      </w:r>
    </w:p>
    <w:p w14:paraId="4DAA166B" w14:textId="77777777" w:rsidR="00E7351F" w:rsidRPr="00976042" w:rsidRDefault="00E7351F" w:rsidP="00E7351F">
      <w:pPr>
        <w:rPr>
          <w:lang w:val="bs-Latn-BA"/>
        </w:rPr>
      </w:pPr>
    </w:p>
    <w:p w14:paraId="112AD420" w14:textId="77777777" w:rsidR="00E7351F" w:rsidRPr="00976042" w:rsidRDefault="00E7351F" w:rsidP="00E7351F">
      <w:pPr>
        <w:pStyle w:val="ListParagraph"/>
        <w:numPr>
          <w:ilvl w:val="0"/>
          <w:numId w:val="2"/>
        </w:numPr>
        <w:rPr>
          <w:b/>
          <w:lang w:val="bs-Latn-BA"/>
        </w:rPr>
      </w:pPr>
      <w:r w:rsidRPr="00976042">
        <w:rPr>
          <w:b/>
          <w:lang w:val="bs-Latn-BA"/>
        </w:rPr>
        <w:t>Aplikativni softver specijalne namjene</w:t>
      </w:r>
    </w:p>
    <w:p w14:paraId="33188D84" w14:textId="77777777" w:rsidR="00E7351F" w:rsidRPr="00976042" w:rsidRDefault="00E7351F" w:rsidP="00E7351F">
      <w:pPr>
        <w:rPr>
          <w:lang w:val="bs-Latn-BA"/>
        </w:rPr>
      </w:pPr>
    </w:p>
    <w:p w14:paraId="4FF9DC24" w14:textId="77777777" w:rsidR="00E7351F" w:rsidRPr="00976042" w:rsidRDefault="00E7351F" w:rsidP="00E7351F">
      <w:pPr>
        <w:jc w:val="both"/>
        <w:rPr>
          <w:lang w:val="bs-Latn-BA"/>
        </w:rPr>
      </w:pPr>
      <w:r w:rsidRPr="00976042">
        <w:rPr>
          <w:lang w:val="bs-Latn-BA"/>
        </w:rPr>
        <w:t>Korisničke radne stanice mogu biti opremljene i aplikativnim softverom za specijalne namjene, kao i aplikativnim softverom koji ne čini dio obaveznog softvera za radnu stanicu, ukoliko se za istim ukaže potreba u obavljanju radnih zadataka institucije. Odobrenje za instalaciju i način instalacije aplikativnog softvera specijalne namjene treba biti regulirano internom procedurom koju donosi institucija.</w:t>
      </w:r>
    </w:p>
    <w:p w14:paraId="3F7F2D17" w14:textId="77777777" w:rsidR="00E7351F" w:rsidRPr="00976042" w:rsidRDefault="00E7351F" w:rsidP="00E7351F">
      <w:pPr>
        <w:outlineLvl w:val="0"/>
        <w:rPr>
          <w:b/>
          <w:caps/>
          <w:lang w:val="bs-Latn-BA" w:eastAsia="bs-Latn-BA"/>
        </w:rPr>
      </w:pPr>
    </w:p>
    <w:p w14:paraId="0CF1A74C" w14:textId="77777777" w:rsidR="00E7351F" w:rsidRPr="00976042" w:rsidRDefault="00E7351F" w:rsidP="00E7351F">
      <w:pPr>
        <w:rPr>
          <w:lang w:val="bs-Latn-BA"/>
        </w:rPr>
      </w:pPr>
    </w:p>
    <w:p w14:paraId="32A5BC44" w14:textId="77777777" w:rsidR="00D521E5" w:rsidRPr="00976042" w:rsidRDefault="00D521E5">
      <w:pPr>
        <w:rPr>
          <w:lang w:val="bs-Latn-BA"/>
        </w:rPr>
      </w:pPr>
    </w:p>
    <w:p w14:paraId="5D90539D" w14:textId="77777777" w:rsidR="009036C3" w:rsidRPr="00976042" w:rsidRDefault="009036C3">
      <w:pPr>
        <w:rPr>
          <w:lang w:val="bs-Latn-BA"/>
        </w:rPr>
      </w:pPr>
    </w:p>
    <w:p w14:paraId="528D3C63" w14:textId="77777777" w:rsidR="009036C3" w:rsidRPr="00976042" w:rsidRDefault="009036C3">
      <w:pPr>
        <w:rPr>
          <w:lang w:val="bs-Latn-BA"/>
        </w:rPr>
      </w:pPr>
    </w:p>
    <w:p w14:paraId="68E330D6" w14:textId="77777777" w:rsidR="009036C3" w:rsidRPr="00976042" w:rsidRDefault="009036C3">
      <w:pPr>
        <w:rPr>
          <w:lang w:val="bs-Latn-BA"/>
        </w:rPr>
      </w:pPr>
    </w:p>
    <w:p w14:paraId="0C5A9B75" w14:textId="77777777" w:rsidR="009036C3" w:rsidRPr="00976042" w:rsidRDefault="009036C3">
      <w:pPr>
        <w:rPr>
          <w:lang w:val="bs-Latn-BA"/>
        </w:rPr>
      </w:pPr>
    </w:p>
    <w:p w14:paraId="2E2694FF" w14:textId="77777777" w:rsidR="009036C3" w:rsidRPr="00976042" w:rsidRDefault="009036C3">
      <w:pPr>
        <w:rPr>
          <w:lang w:val="bs-Latn-BA"/>
        </w:rPr>
      </w:pPr>
    </w:p>
    <w:p w14:paraId="314D0404" w14:textId="77777777" w:rsidR="009036C3" w:rsidRPr="00976042" w:rsidRDefault="009036C3">
      <w:pPr>
        <w:rPr>
          <w:lang w:val="bs-Latn-BA"/>
        </w:rPr>
      </w:pPr>
    </w:p>
    <w:p w14:paraId="7900965E" w14:textId="77777777" w:rsidR="009036C3" w:rsidRPr="00976042" w:rsidRDefault="009036C3">
      <w:pPr>
        <w:rPr>
          <w:lang w:val="bs-Latn-BA"/>
        </w:rPr>
      </w:pPr>
    </w:p>
    <w:p w14:paraId="51412B46" w14:textId="77777777" w:rsidR="009036C3" w:rsidRPr="00976042" w:rsidRDefault="009036C3">
      <w:pPr>
        <w:rPr>
          <w:lang w:val="bs-Latn-BA"/>
        </w:rPr>
      </w:pPr>
    </w:p>
    <w:p w14:paraId="6637B451" w14:textId="77777777" w:rsidR="009036C3" w:rsidRPr="00976042" w:rsidRDefault="009036C3">
      <w:pPr>
        <w:rPr>
          <w:lang w:val="bs-Latn-BA"/>
        </w:rPr>
      </w:pPr>
    </w:p>
    <w:p w14:paraId="57E30DA8" w14:textId="77777777" w:rsidR="009036C3" w:rsidRPr="00976042" w:rsidRDefault="009036C3">
      <w:pPr>
        <w:rPr>
          <w:lang w:val="bs-Latn-BA"/>
        </w:rPr>
      </w:pPr>
    </w:p>
    <w:p w14:paraId="735044B5" w14:textId="77777777" w:rsidR="009036C3" w:rsidRPr="00976042" w:rsidRDefault="009036C3">
      <w:pPr>
        <w:rPr>
          <w:lang w:val="bs-Latn-BA"/>
        </w:rPr>
      </w:pPr>
    </w:p>
    <w:p w14:paraId="748FBBA5" w14:textId="77777777" w:rsidR="009036C3" w:rsidRPr="00976042" w:rsidRDefault="009036C3">
      <w:pPr>
        <w:rPr>
          <w:lang w:val="bs-Latn-BA"/>
        </w:rPr>
      </w:pPr>
    </w:p>
    <w:p w14:paraId="38995EC6" w14:textId="77777777" w:rsidR="009036C3" w:rsidRPr="00976042" w:rsidRDefault="009036C3">
      <w:pPr>
        <w:rPr>
          <w:lang w:val="bs-Latn-BA"/>
        </w:rPr>
      </w:pPr>
    </w:p>
    <w:p w14:paraId="1303BA95" w14:textId="77777777" w:rsidR="009036C3" w:rsidRPr="00976042" w:rsidRDefault="009036C3">
      <w:pPr>
        <w:rPr>
          <w:lang w:val="bs-Latn-BA"/>
        </w:rPr>
      </w:pPr>
    </w:p>
    <w:p w14:paraId="1F295558" w14:textId="77777777" w:rsidR="009036C3" w:rsidRPr="00976042" w:rsidRDefault="009036C3">
      <w:pPr>
        <w:rPr>
          <w:lang w:val="bs-Latn-BA"/>
        </w:rPr>
      </w:pPr>
    </w:p>
    <w:p w14:paraId="334385E1" w14:textId="77777777" w:rsidR="009036C3" w:rsidRPr="00976042" w:rsidRDefault="009036C3">
      <w:pPr>
        <w:rPr>
          <w:lang w:val="bs-Latn-BA"/>
        </w:rPr>
      </w:pPr>
    </w:p>
    <w:p w14:paraId="352A8315" w14:textId="77777777" w:rsidR="009036C3" w:rsidRPr="00976042" w:rsidRDefault="009036C3">
      <w:pPr>
        <w:rPr>
          <w:lang w:val="bs-Latn-BA"/>
        </w:rPr>
      </w:pPr>
    </w:p>
    <w:p w14:paraId="2B736734" w14:textId="77777777" w:rsidR="009036C3" w:rsidRPr="00976042" w:rsidRDefault="009036C3">
      <w:pPr>
        <w:rPr>
          <w:lang w:val="bs-Latn-BA"/>
        </w:rPr>
      </w:pPr>
    </w:p>
    <w:p w14:paraId="27014026" w14:textId="77777777" w:rsidR="009036C3" w:rsidRPr="00976042" w:rsidRDefault="009036C3">
      <w:pPr>
        <w:rPr>
          <w:lang w:val="bs-Latn-BA"/>
        </w:rPr>
      </w:pPr>
    </w:p>
    <w:p w14:paraId="7AA5EE4E" w14:textId="77777777" w:rsidR="009036C3" w:rsidRPr="00976042" w:rsidRDefault="009036C3">
      <w:pPr>
        <w:rPr>
          <w:lang w:val="bs-Latn-BA"/>
        </w:rPr>
      </w:pPr>
    </w:p>
    <w:p w14:paraId="7A2665AC" w14:textId="77777777" w:rsidR="009036C3" w:rsidRPr="00976042" w:rsidRDefault="009036C3">
      <w:pPr>
        <w:rPr>
          <w:lang w:val="bs-Latn-BA"/>
        </w:rPr>
      </w:pPr>
    </w:p>
    <w:p w14:paraId="54F89107" w14:textId="77777777" w:rsidR="009036C3" w:rsidRPr="00976042" w:rsidRDefault="009036C3">
      <w:pPr>
        <w:rPr>
          <w:lang w:val="bs-Latn-BA"/>
        </w:rPr>
      </w:pPr>
    </w:p>
    <w:p w14:paraId="67EA8F20" w14:textId="77777777" w:rsidR="009036C3" w:rsidRPr="00976042" w:rsidRDefault="009036C3">
      <w:pPr>
        <w:rPr>
          <w:lang w:val="bs-Latn-BA"/>
        </w:rPr>
      </w:pPr>
    </w:p>
    <w:p w14:paraId="06AE11C5" w14:textId="77777777" w:rsidR="009036C3" w:rsidRPr="00976042" w:rsidRDefault="009036C3">
      <w:pPr>
        <w:rPr>
          <w:lang w:val="bs-Latn-BA"/>
        </w:rPr>
      </w:pPr>
    </w:p>
    <w:p w14:paraId="30F084B1" w14:textId="77777777" w:rsidR="009036C3" w:rsidRPr="00976042" w:rsidRDefault="009036C3">
      <w:pPr>
        <w:rPr>
          <w:lang w:val="bs-Latn-BA"/>
        </w:rPr>
      </w:pPr>
    </w:p>
    <w:p w14:paraId="4898B585" w14:textId="77777777" w:rsidR="009036C3" w:rsidRPr="00976042" w:rsidRDefault="009036C3">
      <w:pPr>
        <w:rPr>
          <w:lang w:val="bs-Latn-BA"/>
        </w:rPr>
      </w:pPr>
    </w:p>
    <w:p w14:paraId="1D7D2655" w14:textId="77777777" w:rsidR="009036C3" w:rsidRPr="00976042" w:rsidRDefault="009036C3">
      <w:pPr>
        <w:rPr>
          <w:lang w:val="bs-Latn-BA"/>
        </w:rPr>
      </w:pPr>
    </w:p>
    <w:p w14:paraId="16599509" w14:textId="77777777" w:rsidR="00E32B02" w:rsidRPr="00976042" w:rsidRDefault="00E32B02">
      <w:pPr>
        <w:rPr>
          <w:b/>
          <w:bCs/>
          <w:lang w:val="bs-Latn-BA"/>
        </w:rPr>
        <w:sectPr w:rsidR="00E32B02" w:rsidRPr="00976042" w:rsidSect="00CC3EFA">
          <w:pgSz w:w="12240" w:h="15840"/>
          <w:pgMar w:top="1440" w:right="1440" w:bottom="180" w:left="1440" w:header="720" w:footer="720" w:gutter="0"/>
          <w:cols w:space="720"/>
          <w:docGrid w:linePitch="360"/>
        </w:sectPr>
      </w:pPr>
    </w:p>
    <w:p w14:paraId="23EF30B4" w14:textId="15BD32FB" w:rsidR="009036C3" w:rsidRPr="00976042" w:rsidRDefault="00225330">
      <w:pPr>
        <w:rPr>
          <w:b/>
          <w:bCs/>
          <w:lang w:val="bs-Latn-BA"/>
        </w:rPr>
      </w:pPr>
      <w:r w:rsidRPr="00976042">
        <w:rPr>
          <w:b/>
          <w:bCs/>
          <w:lang w:val="bs-Latn-BA"/>
        </w:rPr>
        <w:lastRenderedPageBreak/>
        <w:t>Prilog 1</w:t>
      </w:r>
    </w:p>
    <w:p w14:paraId="29E67716" w14:textId="77777777" w:rsidR="00225330" w:rsidRPr="00976042" w:rsidRDefault="00225330">
      <w:pPr>
        <w:rPr>
          <w:lang w:val="bs-Latn-BA"/>
        </w:rPr>
      </w:pPr>
    </w:p>
    <w:tbl>
      <w:tblPr>
        <w:tblW w:w="13421" w:type="dxa"/>
        <w:tblInd w:w="974" w:type="dxa"/>
        <w:tblLook w:val="04A0" w:firstRow="1" w:lastRow="0" w:firstColumn="1" w:lastColumn="0" w:noHBand="0" w:noVBand="1"/>
      </w:tblPr>
      <w:tblGrid>
        <w:gridCol w:w="328"/>
        <w:gridCol w:w="4100"/>
        <w:gridCol w:w="2493"/>
        <w:gridCol w:w="633"/>
        <w:gridCol w:w="696"/>
        <w:gridCol w:w="598"/>
        <w:gridCol w:w="658"/>
        <w:gridCol w:w="565"/>
        <w:gridCol w:w="627"/>
        <w:gridCol w:w="554"/>
        <w:gridCol w:w="730"/>
        <w:gridCol w:w="706"/>
        <w:gridCol w:w="824"/>
      </w:tblGrid>
      <w:tr w:rsidR="00CD2E72" w:rsidRPr="00615205" w14:paraId="3A9EF45F" w14:textId="77777777" w:rsidTr="00211729">
        <w:trPr>
          <w:trHeight w:val="675"/>
        </w:trPr>
        <w:tc>
          <w:tcPr>
            <w:tcW w:w="1342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119FCD98" w14:textId="462B09A9" w:rsidR="00CD2E72" w:rsidRPr="00615205" w:rsidRDefault="00CD2E72" w:rsidP="00CD2E72">
            <w:pPr>
              <w:jc w:val="center"/>
              <w:rPr>
                <w:b/>
                <w:bCs/>
                <w:color w:val="000000"/>
                <w:sz w:val="22"/>
                <w:szCs w:val="22"/>
                <w:lang w:val="bs-Latn-BA" w:eastAsia="bs-Latn-BA"/>
              </w:rPr>
            </w:pPr>
            <w:r w:rsidRPr="00615205">
              <w:rPr>
                <w:b/>
                <w:bCs/>
                <w:color w:val="000000"/>
                <w:sz w:val="22"/>
                <w:szCs w:val="22"/>
                <w:lang w:val="bs-Latn-BA" w:eastAsia="bs-Latn-BA"/>
              </w:rPr>
              <w:t>Minimalne i maksimalne hardverske karakteristike na temelju kojih Institucije Bosne i Hercegovine mogu nabavljati radne stanice za 20__.g.</w:t>
            </w:r>
            <w:r w:rsidRPr="00615205">
              <w:rPr>
                <w:b/>
                <w:bCs/>
                <w:color w:val="000000"/>
                <w:sz w:val="22"/>
                <w:szCs w:val="22"/>
                <w:lang w:val="bs-Latn-BA" w:eastAsia="bs-Latn-BA"/>
              </w:rPr>
              <w:br/>
              <w:t xml:space="preserve">(Dokument o tehničko-tehnološkom i softverskom standardu za radnu stanicu u Institucijama Bosne i Hercegovine </w:t>
            </w:r>
            <w:r w:rsidR="00EE1BF5" w:rsidRPr="00615205">
              <w:rPr>
                <w:b/>
                <w:bCs/>
                <w:color w:val="000000"/>
                <w:sz w:val="22"/>
                <w:szCs w:val="22"/>
                <w:lang w:val="bs-Latn-BA" w:eastAsia="bs-Latn-BA"/>
              </w:rPr>
              <w:t>(„</w:t>
            </w:r>
            <w:r w:rsidRPr="00615205">
              <w:rPr>
                <w:b/>
                <w:bCs/>
                <w:color w:val="000000"/>
                <w:sz w:val="22"/>
                <w:szCs w:val="22"/>
                <w:lang w:val="bs-Latn-BA" w:eastAsia="bs-Latn-BA"/>
              </w:rPr>
              <w:t>Sl.gl.</w:t>
            </w:r>
            <w:r w:rsidR="00EE1BF5" w:rsidRPr="00615205">
              <w:rPr>
                <w:b/>
                <w:bCs/>
                <w:color w:val="000000"/>
                <w:sz w:val="22"/>
                <w:szCs w:val="22"/>
                <w:lang w:val="bs-Latn-BA" w:eastAsia="bs-Latn-BA"/>
              </w:rPr>
              <w:t xml:space="preserve"> BiH“</w:t>
            </w:r>
            <w:r w:rsidRPr="00615205">
              <w:rPr>
                <w:b/>
                <w:bCs/>
                <w:color w:val="000000"/>
                <w:sz w:val="22"/>
                <w:szCs w:val="22"/>
                <w:lang w:val="bs-Latn-BA" w:eastAsia="bs-Latn-BA"/>
              </w:rPr>
              <w:t xml:space="preserve"> broj </w:t>
            </w:r>
            <w:r w:rsidR="008218C0" w:rsidRPr="00615205">
              <w:rPr>
                <w:b/>
                <w:bCs/>
                <w:color w:val="000000"/>
                <w:sz w:val="22"/>
                <w:szCs w:val="22"/>
                <w:lang w:val="bs-Latn-BA" w:eastAsia="bs-Latn-BA"/>
              </w:rPr>
              <w:t xml:space="preserve">45/20 i </w:t>
            </w:r>
            <w:r w:rsidR="00340449" w:rsidRPr="00615205">
              <w:rPr>
                <w:b/>
                <w:bCs/>
                <w:color w:val="000000"/>
                <w:sz w:val="22"/>
                <w:szCs w:val="22"/>
                <w:lang w:val="bs-Latn-BA" w:eastAsia="bs-Latn-BA"/>
              </w:rPr>
              <w:t>24/23</w:t>
            </w:r>
            <w:r w:rsidRPr="00615205">
              <w:rPr>
                <w:b/>
                <w:bCs/>
                <w:color w:val="000000"/>
                <w:sz w:val="22"/>
                <w:szCs w:val="22"/>
                <w:lang w:val="bs-Latn-BA" w:eastAsia="bs-Latn-BA"/>
              </w:rPr>
              <w:t>)</w:t>
            </w:r>
            <w:r w:rsidR="00EE1BF5" w:rsidRPr="00615205">
              <w:rPr>
                <w:b/>
                <w:bCs/>
                <w:color w:val="000000"/>
                <w:sz w:val="22"/>
                <w:szCs w:val="22"/>
                <w:lang w:val="bs-Latn-BA" w:eastAsia="bs-Latn-BA"/>
              </w:rPr>
              <w:t>)</w:t>
            </w:r>
          </w:p>
        </w:tc>
      </w:tr>
      <w:tr w:rsidR="00CD2E72" w:rsidRPr="00615205" w14:paraId="1A9B76E3" w14:textId="77777777" w:rsidTr="00211729">
        <w:trPr>
          <w:trHeight w:val="375"/>
        </w:trPr>
        <w:tc>
          <w:tcPr>
            <w:tcW w:w="328" w:type="dxa"/>
            <w:tcBorders>
              <w:top w:val="nil"/>
              <w:left w:val="single" w:sz="4" w:space="0" w:color="auto"/>
              <w:bottom w:val="nil"/>
              <w:right w:val="nil"/>
            </w:tcBorders>
            <w:shd w:val="clear" w:color="auto" w:fill="auto"/>
            <w:noWrap/>
            <w:vAlign w:val="bottom"/>
            <w:hideMark/>
          </w:tcPr>
          <w:p w14:paraId="7F11A42B" w14:textId="77777777" w:rsidR="00CD2E72" w:rsidRPr="00615205" w:rsidRDefault="00CD2E72" w:rsidP="00CD2E72">
            <w:pPr>
              <w:jc w:val="center"/>
              <w:rPr>
                <w:color w:val="000000"/>
                <w:sz w:val="22"/>
                <w:szCs w:val="22"/>
                <w:lang w:val="bs-Latn-BA" w:eastAsia="bs-Latn-BA"/>
              </w:rPr>
            </w:pPr>
            <w:r w:rsidRPr="00615205">
              <w:rPr>
                <w:color w:val="000000"/>
                <w:sz w:val="22"/>
                <w:szCs w:val="22"/>
                <w:lang w:val="bs-Latn-BA" w:eastAsia="bs-Latn-BA"/>
              </w:rPr>
              <w:t> </w:t>
            </w:r>
          </w:p>
        </w:tc>
        <w:tc>
          <w:tcPr>
            <w:tcW w:w="4100" w:type="dxa"/>
            <w:tcBorders>
              <w:top w:val="nil"/>
              <w:left w:val="nil"/>
              <w:bottom w:val="nil"/>
              <w:right w:val="nil"/>
            </w:tcBorders>
            <w:shd w:val="clear" w:color="auto" w:fill="auto"/>
            <w:noWrap/>
            <w:vAlign w:val="bottom"/>
            <w:hideMark/>
          </w:tcPr>
          <w:p w14:paraId="62D406A5"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2493" w:type="dxa"/>
            <w:tcBorders>
              <w:top w:val="nil"/>
              <w:left w:val="nil"/>
              <w:bottom w:val="nil"/>
              <w:right w:val="single" w:sz="4" w:space="0" w:color="auto"/>
            </w:tcBorders>
            <w:shd w:val="clear" w:color="auto" w:fill="auto"/>
            <w:noWrap/>
            <w:vAlign w:val="bottom"/>
            <w:hideMark/>
          </w:tcPr>
          <w:p w14:paraId="7B0FE00C"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50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2B133315" w14:textId="77777777" w:rsidR="00CD2E72" w:rsidRPr="00615205" w:rsidRDefault="00CD2E72" w:rsidP="00CD2E72">
            <w:pPr>
              <w:jc w:val="center"/>
              <w:rPr>
                <w:b/>
                <w:bCs/>
                <w:color w:val="000000"/>
                <w:sz w:val="28"/>
                <w:szCs w:val="28"/>
                <w:lang w:val="bs-Latn-BA" w:eastAsia="bs-Latn-BA"/>
              </w:rPr>
            </w:pPr>
            <w:r w:rsidRPr="00615205">
              <w:rPr>
                <w:b/>
                <w:bCs/>
                <w:color w:val="000000"/>
                <w:sz w:val="28"/>
                <w:szCs w:val="28"/>
                <w:lang w:val="bs-Latn-BA" w:eastAsia="bs-Latn-BA"/>
              </w:rPr>
              <w:t>Vrsta uredske radne stanice</w:t>
            </w:r>
          </w:p>
        </w:tc>
      </w:tr>
      <w:tr w:rsidR="00E32B02" w:rsidRPr="00615205" w14:paraId="3A781A76" w14:textId="77777777" w:rsidTr="00211729">
        <w:trPr>
          <w:trHeight w:val="300"/>
        </w:trPr>
        <w:tc>
          <w:tcPr>
            <w:tcW w:w="328" w:type="dxa"/>
            <w:tcBorders>
              <w:top w:val="nil"/>
              <w:left w:val="single" w:sz="4" w:space="0" w:color="auto"/>
              <w:bottom w:val="nil"/>
              <w:right w:val="nil"/>
            </w:tcBorders>
            <w:shd w:val="clear" w:color="auto" w:fill="auto"/>
            <w:noWrap/>
            <w:vAlign w:val="bottom"/>
            <w:hideMark/>
          </w:tcPr>
          <w:p w14:paraId="592C962A" w14:textId="77777777" w:rsidR="00CD2E72" w:rsidRPr="00615205" w:rsidRDefault="00CD2E72" w:rsidP="00CD2E72">
            <w:pPr>
              <w:jc w:val="center"/>
              <w:rPr>
                <w:color w:val="000000"/>
                <w:sz w:val="22"/>
                <w:szCs w:val="22"/>
                <w:lang w:val="bs-Latn-BA" w:eastAsia="bs-Latn-BA"/>
              </w:rPr>
            </w:pPr>
            <w:r w:rsidRPr="00615205">
              <w:rPr>
                <w:color w:val="000000"/>
                <w:sz w:val="22"/>
                <w:szCs w:val="22"/>
                <w:lang w:val="bs-Latn-BA" w:eastAsia="bs-Latn-BA"/>
              </w:rPr>
              <w:t> </w:t>
            </w:r>
          </w:p>
        </w:tc>
        <w:tc>
          <w:tcPr>
            <w:tcW w:w="4100" w:type="dxa"/>
            <w:tcBorders>
              <w:top w:val="nil"/>
              <w:left w:val="nil"/>
              <w:bottom w:val="nil"/>
              <w:right w:val="nil"/>
            </w:tcBorders>
            <w:shd w:val="clear" w:color="auto" w:fill="auto"/>
            <w:noWrap/>
            <w:vAlign w:val="bottom"/>
            <w:hideMark/>
          </w:tcPr>
          <w:p w14:paraId="1E89AFD6" w14:textId="77777777" w:rsidR="00CD2E72" w:rsidRPr="00615205" w:rsidRDefault="00CD2E72" w:rsidP="00CD2E72">
            <w:pPr>
              <w:jc w:val="center"/>
              <w:rPr>
                <w:color w:val="000000"/>
                <w:sz w:val="22"/>
                <w:szCs w:val="22"/>
                <w:lang w:val="bs-Latn-BA" w:eastAsia="bs-Latn-BA"/>
              </w:rPr>
            </w:pPr>
          </w:p>
        </w:tc>
        <w:tc>
          <w:tcPr>
            <w:tcW w:w="2493" w:type="dxa"/>
            <w:tcBorders>
              <w:top w:val="nil"/>
              <w:left w:val="nil"/>
              <w:bottom w:val="nil"/>
              <w:right w:val="nil"/>
            </w:tcBorders>
            <w:shd w:val="clear" w:color="auto" w:fill="auto"/>
            <w:noWrap/>
            <w:vAlign w:val="bottom"/>
            <w:hideMark/>
          </w:tcPr>
          <w:p w14:paraId="232B71C5" w14:textId="77777777" w:rsidR="00CD2E72" w:rsidRPr="00615205" w:rsidRDefault="00CD2E72" w:rsidP="00CD2E72">
            <w:pPr>
              <w:rPr>
                <w:sz w:val="20"/>
                <w:szCs w:val="20"/>
                <w:lang w:val="bs-Latn-BA" w:eastAsia="bs-Latn-BA"/>
              </w:rPr>
            </w:pPr>
          </w:p>
        </w:tc>
        <w:tc>
          <w:tcPr>
            <w:tcW w:w="1273" w:type="dxa"/>
            <w:gridSpan w:val="2"/>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54B861EA" w14:textId="77777777" w:rsidR="00CD2E72" w:rsidRPr="00615205" w:rsidRDefault="00CD2E72" w:rsidP="00CD2E72">
            <w:pPr>
              <w:jc w:val="center"/>
              <w:rPr>
                <w:b/>
                <w:bCs/>
                <w:color w:val="000000"/>
                <w:sz w:val="22"/>
                <w:szCs w:val="22"/>
                <w:lang w:val="bs-Latn-BA" w:eastAsia="bs-Latn-BA"/>
              </w:rPr>
            </w:pPr>
            <w:r w:rsidRPr="00615205">
              <w:rPr>
                <w:b/>
                <w:bCs/>
                <w:color w:val="000000"/>
                <w:sz w:val="22"/>
                <w:szCs w:val="22"/>
                <w:lang w:val="bs-Latn-BA" w:eastAsia="bs-Latn-BA"/>
              </w:rPr>
              <w:t xml:space="preserve">Standardna </w:t>
            </w:r>
          </w:p>
        </w:tc>
        <w:tc>
          <w:tcPr>
            <w:tcW w:w="1221" w:type="dxa"/>
            <w:gridSpan w:val="2"/>
            <w:tcBorders>
              <w:top w:val="single" w:sz="4" w:space="0" w:color="auto"/>
              <w:left w:val="nil"/>
              <w:bottom w:val="single" w:sz="4" w:space="0" w:color="auto"/>
              <w:right w:val="double" w:sz="6" w:space="0" w:color="000000"/>
            </w:tcBorders>
            <w:shd w:val="clear" w:color="000000" w:fill="D9D9D9"/>
            <w:noWrap/>
            <w:vAlign w:val="bottom"/>
            <w:hideMark/>
          </w:tcPr>
          <w:p w14:paraId="4091358F" w14:textId="77777777" w:rsidR="00CD2E72" w:rsidRPr="00615205" w:rsidRDefault="00CD2E72" w:rsidP="00CD2E72">
            <w:pPr>
              <w:jc w:val="center"/>
              <w:rPr>
                <w:b/>
                <w:bCs/>
                <w:color w:val="000000"/>
                <w:sz w:val="22"/>
                <w:szCs w:val="22"/>
                <w:lang w:val="bs-Latn-BA" w:eastAsia="bs-Latn-BA"/>
              </w:rPr>
            </w:pPr>
            <w:r w:rsidRPr="00615205">
              <w:rPr>
                <w:b/>
                <w:bCs/>
                <w:color w:val="000000"/>
                <w:sz w:val="22"/>
                <w:szCs w:val="22"/>
                <w:lang w:val="bs-Latn-BA" w:eastAsia="bs-Latn-BA"/>
              </w:rPr>
              <w:t xml:space="preserve">Poboljšana </w:t>
            </w:r>
          </w:p>
        </w:tc>
        <w:tc>
          <w:tcPr>
            <w:tcW w:w="1192" w:type="dxa"/>
            <w:gridSpan w:val="2"/>
            <w:tcBorders>
              <w:top w:val="single" w:sz="4" w:space="0" w:color="auto"/>
              <w:left w:val="nil"/>
              <w:bottom w:val="single" w:sz="4" w:space="0" w:color="auto"/>
              <w:right w:val="double" w:sz="6" w:space="0" w:color="000000"/>
            </w:tcBorders>
            <w:shd w:val="clear" w:color="000000" w:fill="D9D9D9"/>
            <w:noWrap/>
            <w:vAlign w:val="bottom"/>
            <w:hideMark/>
          </w:tcPr>
          <w:p w14:paraId="1DC089D7" w14:textId="77777777" w:rsidR="00CD2E72" w:rsidRPr="00615205" w:rsidRDefault="00CD2E72" w:rsidP="00CD2E72">
            <w:pPr>
              <w:jc w:val="center"/>
              <w:rPr>
                <w:b/>
                <w:bCs/>
                <w:color w:val="000000"/>
                <w:sz w:val="22"/>
                <w:szCs w:val="22"/>
                <w:lang w:val="bs-Latn-BA" w:eastAsia="bs-Latn-BA"/>
              </w:rPr>
            </w:pPr>
            <w:r w:rsidRPr="00615205">
              <w:rPr>
                <w:b/>
                <w:bCs/>
                <w:color w:val="000000"/>
                <w:sz w:val="22"/>
                <w:szCs w:val="22"/>
                <w:lang w:val="bs-Latn-BA" w:eastAsia="bs-Latn-BA"/>
              </w:rPr>
              <w:t>Napredna</w:t>
            </w:r>
          </w:p>
        </w:tc>
        <w:tc>
          <w:tcPr>
            <w:tcW w:w="1284" w:type="dxa"/>
            <w:gridSpan w:val="2"/>
            <w:tcBorders>
              <w:top w:val="single" w:sz="4" w:space="0" w:color="auto"/>
              <w:left w:val="nil"/>
              <w:bottom w:val="single" w:sz="4" w:space="0" w:color="auto"/>
              <w:right w:val="double" w:sz="6" w:space="0" w:color="000000"/>
            </w:tcBorders>
            <w:shd w:val="clear" w:color="000000" w:fill="D9D9D9"/>
            <w:noWrap/>
            <w:vAlign w:val="bottom"/>
            <w:hideMark/>
          </w:tcPr>
          <w:p w14:paraId="7E74BD3E" w14:textId="77777777" w:rsidR="00CD2E72" w:rsidRPr="00615205" w:rsidRDefault="00CD2E72" w:rsidP="00CD2E72">
            <w:pPr>
              <w:jc w:val="center"/>
              <w:rPr>
                <w:b/>
                <w:bCs/>
                <w:color w:val="000000"/>
                <w:sz w:val="22"/>
                <w:szCs w:val="22"/>
                <w:lang w:val="bs-Latn-BA" w:eastAsia="bs-Latn-BA"/>
              </w:rPr>
            </w:pPr>
            <w:r w:rsidRPr="00615205">
              <w:rPr>
                <w:b/>
                <w:bCs/>
                <w:color w:val="000000"/>
                <w:sz w:val="22"/>
                <w:szCs w:val="22"/>
                <w:lang w:val="bs-Latn-BA" w:eastAsia="bs-Latn-BA"/>
              </w:rPr>
              <w:t>Mobilna</w:t>
            </w:r>
          </w:p>
        </w:tc>
        <w:tc>
          <w:tcPr>
            <w:tcW w:w="153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5F8CDFF1" w14:textId="77777777" w:rsidR="00CD2E72" w:rsidRPr="00615205" w:rsidRDefault="00CD2E72" w:rsidP="00CD2E72">
            <w:pPr>
              <w:jc w:val="center"/>
              <w:rPr>
                <w:b/>
                <w:bCs/>
                <w:color w:val="000000"/>
                <w:sz w:val="22"/>
                <w:szCs w:val="22"/>
                <w:lang w:val="bs-Latn-BA" w:eastAsia="bs-Latn-BA"/>
              </w:rPr>
            </w:pPr>
            <w:r w:rsidRPr="00615205">
              <w:rPr>
                <w:b/>
                <w:bCs/>
                <w:color w:val="000000"/>
                <w:sz w:val="22"/>
                <w:szCs w:val="22"/>
                <w:lang w:val="bs-Latn-BA" w:eastAsia="bs-Latn-BA"/>
              </w:rPr>
              <w:t>Napredna mobilna</w:t>
            </w:r>
          </w:p>
        </w:tc>
      </w:tr>
      <w:tr w:rsidR="00E32B02" w:rsidRPr="00615205" w14:paraId="16D96689" w14:textId="77777777" w:rsidTr="00211729">
        <w:trPr>
          <w:trHeight w:val="300"/>
        </w:trPr>
        <w:tc>
          <w:tcPr>
            <w:tcW w:w="328" w:type="dxa"/>
            <w:tcBorders>
              <w:top w:val="nil"/>
              <w:left w:val="single" w:sz="4" w:space="0" w:color="auto"/>
              <w:bottom w:val="single" w:sz="4" w:space="0" w:color="auto"/>
              <w:right w:val="nil"/>
            </w:tcBorders>
            <w:shd w:val="clear" w:color="auto" w:fill="auto"/>
            <w:noWrap/>
            <w:vAlign w:val="bottom"/>
            <w:hideMark/>
          </w:tcPr>
          <w:p w14:paraId="2C9BE8A6" w14:textId="77777777" w:rsidR="00CD2E72" w:rsidRPr="00615205" w:rsidRDefault="00CD2E72" w:rsidP="00CD2E72">
            <w:pPr>
              <w:jc w:val="center"/>
              <w:rPr>
                <w:color w:val="000000"/>
                <w:sz w:val="22"/>
                <w:szCs w:val="22"/>
                <w:lang w:val="bs-Latn-BA" w:eastAsia="bs-Latn-BA"/>
              </w:rPr>
            </w:pPr>
            <w:r w:rsidRPr="00615205">
              <w:rPr>
                <w:color w:val="000000"/>
                <w:sz w:val="22"/>
                <w:szCs w:val="22"/>
                <w:lang w:val="bs-Latn-BA" w:eastAsia="bs-Latn-BA"/>
              </w:rPr>
              <w:t> </w:t>
            </w:r>
          </w:p>
        </w:tc>
        <w:tc>
          <w:tcPr>
            <w:tcW w:w="4100" w:type="dxa"/>
            <w:tcBorders>
              <w:top w:val="nil"/>
              <w:left w:val="nil"/>
              <w:bottom w:val="single" w:sz="4" w:space="0" w:color="auto"/>
              <w:right w:val="nil"/>
            </w:tcBorders>
            <w:shd w:val="clear" w:color="auto" w:fill="auto"/>
            <w:noWrap/>
            <w:vAlign w:val="bottom"/>
            <w:hideMark/>
          </w:tcPr>
          <w:p w14:paraId="74390297"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2493" w:type="dxa"/>
            <w:tcBorders>
              <w:top w:val="nil"/>
              <w:left w:val="nil"/>
              <w:bottom w:val="single" w:sz="4" w:space="0" w:color="auto"/>
              <w:right w:val="nil"/>
            </w:tcBorders>
            <w:shd w:val="clear" w:color="auto" w:fill="auto"/>
            <w:noWrap/>
            <w:vAlign w:val="bottom"/>
            <w:hideMark/>
          </w:tcPr>
          <w:p w14:paraId="4A255656"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06" w:type="dxa"/>
            <w:tcBorders>
              <w:top w:val="nil"/>
              <w:left w:val="double" w:sz="6" w:space="0" w:color="auto"/>
              <w:bottom w:val="single" w:sz="4" w:space="0" w:color="auto"/>
              <w:right w:val="single" w:sz="4" w:space="0" w:color="auto"/>
            </w:tcBorders>
            <w:shd w:val="clear" w:color="auto" w:fill="auto"/>
            <w:noWrap/>
            <w:vAlign w:val="bottom"/>
            <w:hideMark/>
          </w:tcPr>
          <w:p w14:paraId="156E0846" w14:textId="77777777" w:rsidR="00CD2E72" w:rsidRPr="00615205" w:rsidRDefault="00CD2E72" w:rsidP="00CD2E72">
            <w:pPr>
              <w:jc w:val="center"/>
              <w:rPr>
                <w:i/>
                <w:iCs/>
                <w:color w:val="000000"/>
                <w:sz w:val="22"/>
                <w:szCs w:val="22"/>
                <w:lang w:val="bs-Latn-BA" w:eastAsia="bs-Latn-BA"/>
              </w:rPr>
            </w:pPr>
            <w:proofErr w:type="spellStart"/>
            <w:r w:rsidRPr="00615205">
              <w:rPr>
                <w:i/>
                <w:iCs/>
                <w:color w:val="000000"/>
                <w:sz w:val="22"/>
                <w:szCs w:val="22"/>
                <w:lang w:val="bs-Latn-BA" w:eastAsia="bs-Latn-BA"/>
              </w:rPr>
              <w:t>min</w:t>
            </w:r>
            <w:proofErr w:type="spellEnd"/>
          </w:p>
        </w:tc>
        <w:tc>
          <w:tcPr>
            <w:tcW w:w="667" w:type="dxa"/>
            <w:tcBorders>
              <w:top w:val="nil"/>
              <w:left w:val="nil"/>
              <w:bottom w:val="single" w:sz="4" w:space="0" w:color="auto"/>
              <w:right w:val="double" w:sz="6" w:space="0" w:color="auto"/>
            </w:tcBorders>
            <w:shd w:val="clear" w:color="auto" w:fill="auto"/>
            <w:noWrap/>
            <w:vAlign w:val="bottom"/>
            <w:hideMark/>
          </w:tcPr>
          <w:p w14:paraId="39400F8A" w14:textId="77777777" w:rsidR="00CD2E72" w:rsidRPr="00615205" w:rsidRDefault="00CD2E72" w:rsidP="00CD2E72">
            <w:pPr>
              <w:jc w:val="center"/>
              <w:rPr>
                <w:i/>
                <w:iCs/>
                <w:color w:val="000000"/>
                <w:sz w:val="22"/>
                <w:szCs w:val="22"/>
                <w:lang w:val="bs-Latn-BA" w:eastAsia="bs-Latn-BA"/>
              </w:rPr>
            </w:pPr>
            <w:proofErr w:type="spellStart"/>
            <w:r w:rsidRPr="00615205">
              <w:rPr>
                <w:i/>
                <w:iCs/>
                <w:color w:val="000000"/>
                <w:sz w:val="22"/>
                <w:szCs w:val="22"/>
                <w:lang w:val="bs-Latn-BA" w:eastAsia="bs-Latn-BA"/>
              </w:rPr>
              <w:t>max</w:t>
            </w:r>
            <w:proofErr w:type="spellEnd"/>
          </w:p>
        </w:tc>
        <w:tc>
          <w:tcPr>
            <w:tcW w:w="581" w:type="dxa"/>
            <w:tcBorders>
              <w:top w:val="nil"/>
              <w:left w:val="nil"/>
              <w:bottom w:val="single" w:sz="4" w:space="0" w:color="auto"/>
              <w:right w:val="single" w:sz="4" w:space="0" w:color="auto"/>
            </w:tcBorders>
            <w:shd w:val="clear" w:color="auto" w:fill="auto"/>
            <w:noWrap/>
            <w:vAlign w:val="bottom"/>
            <w:hideMark/>
          </w:tcPr>
          <w:p w14:paraId="69A0FE1E" w14:textId="77777777" w:rsidR="00CD2E72" w:rsidRPr="00615205" w:rsidRDefault="00CD2E72" w:rsidP="00CD2E72">
            <w:pPr>
              <w:jc w:val="center"/>
              <w:rPr>
                <w:i/>
                <w:iCs/>
                <w:color w:val="000000"/>
                <w:sz w:val="22"/>
                <w:szCs w:val="22"/>
                <w:lang w:val="bs-Latn-BA" w:eastAsia="bs-Latn-BA"/>
              </w:rPr>
            </w:pPr>
            <w:proofErr w:type="spellStart"/>
            <w:r w:rsidRPr="00615205">
              <w:rPr>
                <w:i/>
                <w:iCs/>
                <w:color w:val="000000"/>
                <w:sz w:val="22"/>
                <w:szCs w:val="22"/>
                <w:lang w:val="bs-Latn-BA" w:eastAsia="bs-Latn-BA"/>
              </w:rPr>
              <w:t>min</w:t>
            </w:r>
            <w:proofErr w:type="spellEnd"/>
          </w:p>
        </w:tc>
        <w:tc>
          <w:tcPr>
            <w:tcW w:w="640" w:type="dxa"/>
            <w:tcBorders>
              <w:top w:val="nil"/>
              <w:left w:val="nil"/>
              <w:bottom w:val="single" w:sz="4" w:space="0" w:color="auto"/>
              <w:right w:val="double" w:sz="6" w:space="0" w:color="auto"/>
            </w:tcBorders>
            <w:shd w:val="clear" w:color="auto" w:fill="auto"/>
            <w:noWrap/>
            <w:vAlign w:val="bottom"/>
            <w:hideMark/>
          </w:tcPr>
          <w:p w14:paraId="6041AEB2" w14:textId="77777777" w:rsidR="00CD2E72" w:rsidRPr="00615205" w:rsidRDefault="00CD2E72" w:rsidP="00CD2E72">
            <w:pPr>
              <w:jc w:val="center"/>
              <w:rPr>
                <w:i/>
                <w:iCs/>
                <w:color w:val="000000"/>
                <w:sz w:val="22"/>
                <w:szCs w:val="22"/>
                <w:lang w:val="bs-Latn-BA" w:eastAsia="bs-Latn-BA"/>
              </w:rPr>
            </w:pPr>
            <w:proofErr w:type="spellStart"/>
            <w:r w:rsidRPr="00615205">
              <w:rPr>
                <w:i/>
                <w:iCs/>
                <w:color w:val="000000"/>
                <w:sz w:val="22"/>
                <w:szCs w:val="22"/>
                <w:lang w:val="bs-Latn-BA" w:eastAsia="bs-Latn-BA"/>
              </w:rPr>
              <w:t>max</w:t>
            </w:r>
            <w:proofErr w:type="spellEnd"/>
          </w:p>
        </w:tc>
        <w:tc>
          <w:tcPr>
            <w:tcW w:w="565" w:type="dxa"/>
            <w:tcBorders>
              <w:top w:val="nil"/>
              <w:left w:val="nil"/>
              <w:bottom w:val="single" w:sz="4" w:space="0" w:color="auto"/>
              <w:right w:val="single" w:sz="4" w:space="0" w:color="auto"/>
            </w:tcBorders>
            <w:shd w:val="clear" w:color="auto" w:fill="auto"/>
            <w:noWrap/>
            <w:vAlign w:val="bottom"/>
            <w:hideMark/>
          </w:tcPr>
          <w:p w14:paraId="52D7CEC9" w14:textId="77777777" w:rsidR="00CD2E72" w:rsidRPr="00615205" w:rsidRDefault="00CD2E72" w:rsidP="00CD2E72">
            <w:pPr>
              <w:jc w:val="center"/>
              <w:rPr>
                <w:i/>
                <w:iCs/>
                <w:color w:val="000000"/>
                <w:sz w:val="22"/>
                <w:szCs w:val="22"/>
                <w:lang w:val="bs-Latn-BA" w:eastAsia="bs-Latn-BA"/>
              </w:rPr>
            </w:pPr>
            <w:proofErr w:type="spellStart"/>
            <w:r w:rsidRPr="00615205">
              <w:rPr>
                <w:i/>
                <w:iCs/>
                <w:color w:val="000000"/>
                <w:sz w:val="22"/>
                <w:szCs w:val="22"/>
                <w:lang w:val="bs-Latn-BA" w:eastAsia="bs-Latn-BA"/>
              </w:rPr>
              <w:t>min</w:t>
            </w:r>
            <w:proofErr w:type="spellEnd"/>
          </w:p>
        </w:tc>
        <w:tc>
          <w:tcPr>
            <w:tcW w:w="627" w:type="dxa"/>
            <w:tcBorders>
              <w:top w:val="nil"/>
              <w:left w:val="nil"/>
              <w:bottom w:val="single" w:sz="4" w:space="0" w:color="auto"/>
              <w:right w:val="double" w:sz="6" w:space="0" w:color="auto"/>
            </w:tcBorders>
            <w:shd w:val="clear" w:color="auto" w:fill="auto"/>
            <w:noWrap/>
            <w:vAlign w:val="bottom"/>
            <w:hideMark/>
          </w:tcPr>
          <w:p w14:paraId="3C24D2FB" w14:textId="77777777" w:rsidR="00CD2E72" w:rsidRPr="00615205" w:rsidRDefault="00CD2E72" w:rsidP="00CD2E72">
            <w:pPr>
              <w:jc w:val="center"/>
              <w:rPr>
                <w:i/>
                <w:iCs/>
                <w:color w:val="000000"/>
                <w:sz w:val="22"/>
                <w:szCs w:val="22"/>
                <w:lang w:val="bs-Latn-BA" w:eastAsia="bs-Latn-BA"/>
              </w:rPr>
            </w:pPr>
            <w:proofErr w:type="spellStart"/>
            <w:r w:rsidRPr="00615205">
              <w:rPr>
                <w:i/>
                <w:iCs/>
                <w:color w:val="000000"/>
                <w:sz w:val="22"/>
                <w:szCs w:val="22"/>
                <w:lang w:val="bs-Latn-BA" w:eastAsia="bs-Latn-BA"/>
              </w:rPr>
              <w:t>max</w:t>
            </w:r>
            <w:proofErr w:type="spellEnd"/>
          </w:p>
        </w:tc>
        <w:tc>
          <w:tcPr>
            <w:tcW w:w="554" w:type="dxa"/>
            <w:tcBorders>
              <w:top w:val="nil"/>
              <w:left w:val="nil"/>
              <w:bottom w:val="single" w:sz="4" w:space="0" w:color="auto"/>
              <w:right w:val="single" w:sz="4" w:space="0" w:color="auto"/>
            </w:tcBorders>
            <w:shd w:val="clear" w:color="auto" w:fill="auto"/>
            <w:noWrap/>
            <w:vAlign w:val="bottom"/>
            <w:hideMark/>
          </w:tcPr>
          <w:p w14:paraId="6BBEB87A" w14:textId="77777777" w:rsidR="00CD2E72" w:rsidRPr="00615205" w:rsidRDefault="00CD2E72" w:rsidP="00CD2E72">
            <w:pPr>
              <w:jc w:val="center"/>
              <w:rPr>
                <w:i/>
                <w:iCs/>
                <w:color w:val="000000"/>
                <w:sz w:val="22"/>
                <w:szCs w:val="22"/>
                <w:lang w:val="bs-Latn-BA" w:eastAsia="bs-Latn-BA"/>
              </w:rPr>
            </w:pPr>
            <w:proofErr w:type="spellStart"/>
            <w:r w:rsidRPr="00615205">
              <w:rPr>
                <w:i/>
                <w:iCs/>
                <w:color w:val="000000"/>
                <w:sz w:val="22"/>
                <w:szCs w:val="22"/>
                <w:lang w:val="bs-Latn-BA" w:eastAsia="bs-Latn-BA"/>
              </w:rPr>
              <w:t>min</w:t>
            </w:r>
            <w:proofErr w:type="spellEnd"/>
          </w:p>
        </w:tc>
        <w:tc>
          <w:tcPr>
            <w:tcW w:w="730" w:type="dxa"/>
            <w:tcBorders>
              <w:top w:val="nil"/>
              <w:left w:val="nil"/>
              <w:bottom w:val="single" w:sz="4" w:space="0" w:color="auto"/>
              <w:right w:val="double" w:sz="6" w:space="0" w:color="auto"/>
            </w:tcBorders>
            <w:shd w:val="clear" w:color="auto" w:fill="auto"/>
            <w:noWrap/>
            <w:vAlign w:val="bottom"/>
            <w:hideMark/>
          </w:tcPr>
          <w:p w14:paraId="0EB82399" w14:textId="77777777" w:rsidR="00CD2E72" w:rsidRPr="00615205" w:rsidRDefault="00CD2E72" w:rsidP="00CD2E72">
            <w:pPr>
              <w:jc w:val="center"/>
              <w:rPr>
                <w:i/>
                <w:iCs/>
                <w:color w:val="000000"/>
                <w:sz w:val="22"/>
                <w:szCs w:val="22"/>
                <w:lang w:val="bs-Latn-BA" w:eastAsia="bs-Latn-BA"/>
              </w:rPr>
            </w:pPr>
            <w:proofErr w:type="spellStart"/>
            <w:r w:rsidRPr="00615205">
              <w:rPr>
                <w:i/>
                <w:iCs/>
                <w:color w:val="000000"/>
                <w:sz w:val="22"/>
                <w:szCs w:val="22"/>
                <w:lang w:val="bs-Latn-BA" w:eastAsia="bs-Latn-BA"/>
              </w:rPr>
              <w:t>max</w:t>
            </w:r>
            <w:proofErr w:type="spellEnd"/>
          </w:p>
        </w:tc>
        <w:tc>
          <w:tcPr>
            <w:tcW w:w="706" w:type="dxa"/>
            <w:tcBorders>
              <w:top w:val="nil"/>
              <w:left w:val="nil"/>
              <w:bottom w:val="single" w:sz="4" w:space="0" w:color="auto"/>
              <w:right w:val="single" w:sz="4" w:space="0" w:color="auto"/>
            </w:tcBorders>
            <w:shd w:val="clear" w:color="auto" w:fill="auto"/>
            <w:noWrap/>
            <w:vAlign w:val="bottom"/>
            <w:hideMark/>
          </w:tcPr>
          <w:p w14:paraId="493A610D" w14:textId="77777777" w:rsidR="00CD2E72" w:rsidRPr="00615205" w:rsidRDefault="00CD2E72" w:rsidP="00CD2E72">
            <w:pPr>
              <w:jc w:val="center"/>
              <w:rPr>
                <w:i/>
                <w:iCs/>
                <w:color w:val="000000"/>
                <w:sz w:val="22"/>
                <w:szCs w:val="22"/>
                <w:lang w:val="bs-Latn-BA" w:eastAsia="bs-Latn-BA"/>
              </w:rPr>
            </w:pPr>
            <w:proofErr w:type="spellStart"/>
            <w:r w:rsidRPr="00615205">
              <w:rPr>
                <w:i/>
                <w:iCs/>
                <w:color w:val="000000"/>
                <w:sz w:val="22"/>
                <w:szCs w:val="22"/>
                <w:lang w:val="bs-Latn-BA" w:eastAsia="bs-Latn-BA"/>
              </w:rPr>
              <w:t>min</w:t>
            </w:r>
            <w:proofErr w:type="spellEnd"/>
          </w:p>
        </w:tc>
        <w:tc>
          <w:tcPr>
            <w:tcW w:w="824" w:type="dxa"/>
            <w:tcBorders>
              <w:top w:val="nil"/>
              <w:left w:val="nil"/>
              <w:bottom w:val="single" w:sz="4" w:space="0" w:color="auto"/>
              <w:right w:val="single" w:sz="4" w:space="0" w:color="auto"/>
            </w:tcBorders>
            <w:shd w:val="clear" w:color="auto" w:fill="auto"/>
            <w:noWrap/>
            <w:vAlign w:val="bottom"/>
            <w:hideMark/>
          </w:tcPr>
          <w:p w14:paraId="5FA9F99A" w14:textId="77777777" w:rsidR="00CD2E72" w:rsidRPr="00615205" w:rsidRDefault="00CD2E72" w:rsidP="00CD2E72">
            <w:pPr>
              <w:jc w:val="center"/>
              <w:rPr>
                <w:i/>
                <w:iCs/>
                <w:color w:val="000000"/>
                <w:sz w:val="22"/>
                <w:szCs w:val="22"/>
                <w:lang w:val="bs-Latn-BA" w:eastAsia="bs-Latn-BA"/>
              </w:rPr>
            </w:pPr>
            <w:proofErr w:type="spellStart"/>
            <w:r w:rsidRPr="00615205">
              <w:rPr>
                <w:i/>
                <w:iCs/>
                <w:color w:val="000000"/>
                <w:sz w:val="22"/>
                <w:szCs w:val="22"/>
                <w:lang w:val="bs-Latn-BA" w:eastAsia="bs-Latn-BA"/>
              </w:rPr>
              <w:t>max</w:t>
            </w:r>
            <w:proofErr w:type="spellEnd"/>
          </w:p>
        </w:tc>
      </w:tr>
      <w:tr w:rsidR="00E32B02" w:rsidRPr="00615205" w14:paraId="58FCF5E9" w14:textId="77777777" w:rsidTr="00211729">
        <w:trPr>
          <w:trHeight w:val="315"/>
        </w:trPr>
        <w:tc>
          <w:tcPr>
            <w:tcW w:w="3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3F443A" w14:textId="77777777" w:rsidR="00CD2E72" w:rsidRPr="00615205" w:rsidRDefault="00CD2E72" w:rsidP="00CD2E72">
            <w:pPr>
              <w:jc w:val="center"/>
              <w:rPr>
                <w:color w:val="000000"/>
                <w:sz w:val="22"/>
                <w:szCs w:val="22"/>
                <w:lang w:val="bs-Latn-BA" w:eastAsia="bs-Latn-BA"/>
              </w:rPr>
            </w:pPr>
            <w:r w:rsidRPr="00615205">
              <w:rPr>
                <w:color w:val="000000"/>
                <w:sz w:val="22"/>
                <w:szCs w:val="22"/>
                <w:lang w:val="bs-Latn-BA" w:eastAsia="bs-Latn-BA"/>
              </w:rPr>
              <w:t>1</w:t>
            </w:r>
          </w:p>
        </w:tc>
        <w:tc>
          <w:tcPr>
            <w:tcW w:w="41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293039" w14:textId="77777777" w:rsidR="00CD2E72" w:rsidRPr="00615205" w:rsidRDefault="00CD2E72" w:rsidP="00CD2E72">
            <w:pPr>
              <w:rPr>
                <w:b/>
                <w:bCs/>
                <w:color w:val="000000"/>
                <w:lang w:val="bs-Latn-BA" w:eastAsia="bs-Latn-BA"/>
              </w:rPr>
            </w:pPr>
            <w:r w:rsidRPr="00615205">
              <w:rPr>
                <w:b/>
                <w:bCs/>
                <w:color w:val="000000"/>
                <w:lang w:val="bs-Latn-BA" w:eastAsia="bs-Latn-BA"/>
              </w:rPr>
              <w:t>Procesor (</w:t>
            </w:r>
            <w:proofErr w:type="spellStart"/>
            <w:r w:rsidRPr="00615205">
              <w:rPr>
                <w:b/>
                <w:bCs/>
                <w:color w:val="000000"/>
                <w:lang w:val="bs-Latn-BA" w:eastAsia="bs-Latn-BA"/>
              </w:rPr>
              <w:t>eng</w:t>
            </w:r>
            <w:proofErr w:type="spellEnd"/>
            <w:r w:rsidRPr="00615205">
              <w:rPr>
                <w:b/>
                <w:bCs/>
                <w:color w:val="000000"/>
                <w:lang w:val="bs-Latn-BA" w:eastAsia="bs-Latn-BA"/>
              </w:rPr>
              <w:t xml:space="preserve">.  </w:t>
            </w:r>
            <w:proofErr w:type="spellStart"/>
            <w:r w:rsidRPr="00615205">
              <w:rPr>
                <w:b/>
                <w:bCs/>
                <w:color w:val="000000"/>
                <w:lang w:val="bs-Latn-BA" w:eastAsia="bs-Latn-BA"/>
              </w:rPr>
              <w:t>Processor</w:t>
            </w:r>
            <w:proofErr w:type="spellEnd"/>
            <w:r w:rsidRPr="00615205">
              <w:rPr>
                <w:b/>
                <w:bCs/>
                <w:color w:val="000000"/>
                <w:lang w:val="bs-Latn-BA" w:eastAsia="bs-Latn-BA"/>
              </w:rPr>
              <w:t>)</w:t>
            </w:r>
          </w:p>
        </w:tc>
        <w:tc>
          <w:tcPr>
            <w:tcW w:w="2493" w:type="dxa"/>
            <w:tcBorders>
              <w:top w:val="nil"/>
              <w:left w:val="nil"/>
              <w:bottom w:val="single" w:sz="4" w:space="0" w:color="auto"/>
              <w:right w:val="nil"/>
            </w:tcBorders>
            <w:shd w:val="clear" w:color="auto" w:fill="auto"/>
            <w:noWrap/>
            <w:vAlign w:val="bottom"/>
            <w:hideMark/>
          </w:tcPr>
          <w:p w14:paraId="1A2BDBAB" w14:textId="77777777" w:rsidR="00CD2E72" w:rsidRPr="00615205" w:rsidRDefault="00CD2E72" w:rsidP="00CD2E72">
            <w:pPr>
              <w:jc w:val="right"/>
              <w:rPr>
                <w:i/>
                <w:iCs/>
                <w:color w:val="000000"/>
                <w:sz w:val="22"/>
                <w:szCs w:val="22"/>
                <w:lang w:val="bs-Latn-BA" w:eastAsia="bs-Latn-BA"/>
              </w:rPr>
            </w:pPr>
            <w:r w:rsidRPr="00615205">
              <w:rPr>
                <w:i/>
                <w:iCs/>
                <w:color w:val="000000"/>
                <w:sz w:val="22"/>
                <w:szCs w:val="22"/>
                <w:lang w:val="bs-Latn-BA" w:eastAsia="bs-Latn-BA"/>
              </w:rPr>
              <w:t>Broj fizičkih jezgri</w:t>
            </w:r>
          </w:p>
        </w:tc>
        <w:tc>
          <w:tcPr>
            <w:tcW w:w="606" w:type="dxa"/>
            <w:tcBorders>
              <w:top w:val="nil"/>
              <w:left w:val="double" w:sz="6" w:space="0" w:color="auto"/>
              <w:bottom w:val="single" w:sz="4" w:space="0" w:color="auto"/>
              <w:right w:val="single" w:sz="4" w:space="0" w:color="auto"/>
            </w:tcBorders>
            <w:shd w:val="clear" w:color="auto" w:fill="auto"/>
            <w:noWrap/>
            <w:vAlign w:val="bottom"/>
            <w:hideMark/>
          </w:tcPr>
          <w:p w14:paraId="1F96E466"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67" w:type="dxa"/>
            <w:tcBorders>
              <w:top w:val="nil"/>
              <w:left w:val="nil"/>
              <w:bottom w:val="single" w:sz="4" w:space="0" w:color="auto"/>
              <w:right w:val="double" w:sz="6" w:space="0" w:color="auto"/>
            </w:tcBorders>
            <w:shd w:val="clear" w:color="auto" w:fill="auto"/>
            <w:noWrap/>
            <w:vAlign w:val="bottom"/>
            <w:hideMark/>
          </w:tcPr>
          <w:p w14:paraId="7AC4D626"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81" w:type="dxa"/>
            <w:tcBorders>
              <w:top w:val="nil"/>
              <w:left w:val="nil"/>
              <w:bottom w:val="single" w:sz="4" w:space="0" w:color="auto"/>
              <w:right w:val="single" w:sz="4" w:space="0" w:color="auto"/>
            </w:tcBorders>
            <w:shd w:val="clear" w:color="auto" w:fill="auto"/>
            <w:noWrap/>
            <w:vAlign w:val="bottom"/>
            <w:hideMark/>
          </w:tcPr>
          <w:p w14:paraId="6C585960"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40" w:type="dxa"/>
            <w:tcBorders>
              <w:top w:val="nil"/>
              <w:left w:val="nil"/>
              <w:bottom w:val="single" w:sz="4" w:space="0" w:color="auto"/>
              <w:right w:val="double" w:sz="6" w:space="0" w:color="auto"/>
            </w:tcBorders>
            <w:shd w:val="clear" w:color="auto" w:fill="auto"/>
            <w:noWrap/>
            <w:vAlign w:val="bottom"/>
            <w:hideMark/>
          </w:tcPr>
          <w:p w14:paraId="1469B588"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65" w:type="dxa"/>
            <w:tcBorders>
              <w:top w:val="nil"/>
              <w:left w:val="nil"/>
              <w:bottom w:val="single" w:sz="4" w:space="0" w:color="auto"/>
              <w:right w:val="single" w:sz="4" w:space="0" w:color="auto"/>
            </w:tcBorders>
            <w:shd w:val="clear" w:color="auto" w:fill="auto"/>
            <w:noWrap/>
            <w:vAlign w:val="bottom"/>
            <w:hideMark/>
          </w:tcPr>
          <w:p w14:paraId="3665ED69"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27" w:type="dxa"/>
            <w:tcBorders>
              <w:top w:val="nil"/>
              <w:left w:val="nil"/>
              <w:bottom w:val="single" w:sz="4" w:space="0" w:color="auto"/>
              <w:right w:val="double" w:sz="6" w:space="0" w:color="auto"/>
            </w:tcBorders>
            <w:shd w:val="clear" w:color="auto" w:fill="auto"/>
            <w:noWrap/>
            <w:vAlign w:val="bottom"/>
            <w:hideMark/>
          </w:tcPr>
          <w:p w14:paraId="7F51A829"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54" w:type="dxa"/>
            <w:tcBorders>
              <w:top w:val="nil"/>
              <w:left w:val="nil"/>
              <w:bottom w:val="single" w:sz="4" w:space="0" w:color="auto"/>
              <w:right w:val="single" w:sz="4" w:space="0" w:color="auto"/>
            </w:tcBorders>
            <w:shd w:val="clear" w:color="auto" w:fill="auto"/>
            <w:noWrap/>
            <w:vAlign w:val="bottom"/>
            <w:hideMark/>
          </w:tcPr>
          <w:p w14:paraId="7AAD36FC"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730" w:type="dxa"/>
            <w:tcBorders>
              <w:top w:val="nil"/>
              <w:left w:val="nil"/>
              <w:bottom w:val="single" w:sz="4" w:space="0" w:color="auto"/>
              <w:right w:val="double" w:sz="6" w:space="0" w:color="auto"/>
            </w:tcBorders>
            <w:shd w:val="clear" w:color="auto" w:fill="auto"/>
            <w:noWrap/>
            <w:vAlign w:val="bottom"/>
            <w:hideMark/>
          </w:tcPr>
          <w:p w14:paraId="622358C2"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706" w:type="dxa"/>
            <w:tcBorders>
              <w:top w:val="nil"/>
              <w:left w:val="nil"/>
              <w:bottom w:val="single" w:sz="4" w:space="0" w:color="auto"/>
              <w:right w:val="single" w:sz="4" w:space="0" w:color="auto"/>
            </w:tcBorders>
            <w:shd w:val="clear" w:color="auto" w:fill="auto"/>
            <w:noWrap/>
            <w:vAlign w:val="bottom"/>
            <w:hideMark/>
          </w:tcPr>
          <w:p w14:paraId="0110E405"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824" w:type="dxa"/>
            <w:tcBorders>
              <w:top w:val="nil"/>
              <w:left w:val="nil"/>
              <w:bottom w:val="single" w:sz="4" w:space="0" w:color="auto"/>
              <w:right w:val="single" w:sz="4" w:space="0" w:color="auto"/>
            </w:tcBorders>
            <w:shd w:val="clear" w:color="auto" w:fill="auto"/>
            <w:noWrap/>
            <w:vAlign w:val="bottom"/>
            <w:hideMark/>
          </w:tcPr>
          <w:p w14:paraId="0008499F"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r>
      <w:tr w:rsidR="00E32B02" w:rsidRPr="00615205" w14:paraId="3499B8B2" w14:textId="77777777" w:rsidTr="00211729">
        <w:trPr>
          <w:trHeight w:val="300"/>
        </w:trPr>
        <w:tc>
          <w:tcPr>
            <w:tcW w:w="328" w:type="dxa"/>
            <w:vMerge/>
            <w:tcBorders>
              <w:top w:val="nil"/>
              <w:left w:val="single" w:sz="4" w:space="0" w:color="auto"/>
              <w:bottom w:val="single" w:sz="4" w:space="0" w:color="auto"/>
              <w:right w:val="single" w:sz="4" w:space="0" w:color="auto"/>
            </w:tcBorders>
            <w:vAlign w:val="center"/>
            <w:hideMark/>
          </w:tcPr>
          <w:p w14:paraId="7B72C3DE" w14:textId="77777777" w:rsidR="00CD2E72" w:rsidRPr="00615205" w:rsidRDefault="00CD2E72" w:rsidP="00CD2E72">
            <w:pPr>
              <w:rPr>
                <w:color w:val="000000"/>
                <w:sz w:val="22"/>
                <w:szCs w:val="22"/>
                <w:lang w:val="bs-Latn-BA" w:eastAsia="bs-Latn-BA"/>
              </w:rPr>
            </w:pPr>
          </w:p>
        </w:tc>
        <w:tc>
          <w:tcPr>
            <w:tcW w:w="4100" w:type="dxa"/>
            <w:vMerge/>
            <w:tcBorders>
              <w:top w:val="nil"/>
              <w:left w:val="single" w:sz="4" w:space="0" w:color="auto"/>
              <w:bottom w:val="single" w:sz="4" w:space="0" w:color="000000"/>
              <w:right w:val="single" w:sz="4" w:space="0" w:color="auto"/>
            </w:tcBorders>
            <w:vAlign w:val="center"/>
            <w:hideMark/>
          </w:tcPr>
          <w:p w14:paraId="7CD115A1" w14:textId="77777777" w:rsidR="00CD2E72" w:rsidRPr="00615205" w:rsidRDefault="00CD2E72" w:rsidP="00CD2E72">
            <w:pPr>
              <w:rPr>
                <w:b/>
                <w:bCs/>
                <w:color w:val="000000"/>
                <w:lang w:val="bs-Latn-BA" w:eastAsia="bs-Latn-BA"/>
              </w:rPr>
            </w:pPr>
          </w:p>
        </w:tc>
        <w:tc>
          <w:tcPr>
            <w:tcW w:w="2493" w:type="dxa"/>
            <w:tcBorders>
              <w:top w:val="nil"/>
              <w:left w:val="nil"/>
              <w:bottom w:val="single" w:sz="4" w:space="0" w:color="auto"/>
              <w:right w:val="nil"/>
            </w:tcBorders>
            <w:shd w:val="clear" w:color="auto" w:fill="auto"/>
            <w:noWrap/>
            <w:vAlign w:val="bottom"/>
            <w:hideMark/>
          </w:tcPr>
          <w:p w14:paraId="7C37B699" w14:textId="77777777" w:rsidR="00CD2E72" w:rsidRPr="00615205" w:rsidRDefault="00CD2E72" w:rsidP="00CD2E72">
            <w:pPr>
              <w:jc w:val="right"/>
              <w:rPr>
                <w:i/>
                <w:iCs/>
                <w:color w:val="000000"/>
                <w:sz w:val="22"/>
                <w:szCs w:val="22"/>
                <w:lang w:val="bs-Latn-BA" w:eastAsia="bs-Latn-BA"/>
              </w:rPr>
            </w:pPr>
            <w:r w:rsidRPr="00615205">
              <w:rPr>
                <w:i/>
                <w:iCs/>
                <w:color w:val="000000"/>
                <w:sz w:val="22"/>
                <w:szCs w:val="22"/>
                <w:lang w:val="bs-Latn-BA" w:eastAsia="bs-Latn-BA"/>
              </w:rPr>
              <w:t>Brzina</w:t>
            </w:r>
          </w:p>
        </w:tc>
        <w:tc>
          <w:tcPr>
            <w:tcW w:w="606" w:type="dxa"/>
            <w:tcBorders>
              <w:top w:val="nil"/>
              <w:left w:val="double" w:sz="6" w:space="0" w:color="auto"/>
              <w:bottom w:val="single" w:sz="4" w:space="0" w:color="auto"/>
              <w:right w:val="single" w:sz="4" w:space="0" w:color="auto"/>
            </w:tcBorders>
            <w:shd w:val="clear" w:color="auto" w:fill="auto"/>
            <w:noWrap/>
            <w:vAlign w:val="bottom"/>
            <w:hideMark/>
          </w:tcPr>
          <w:p w14:paraId="00650831"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67" w:type="dxa"/>
            <w:tcBorders>
              <w:top w:val="nil"/>
              <w:left w:val="nil"/>
              <w:bottom w:val="single" w:sz="4" w:space="0" w:color="auto"/>
              <w:right w:val="double" w:sz="6" w:space="0" w:color="auto"/>
            </w:tcBorders>
            <w:shd w:val="clear" w:color="auto" w:fill="auto"/>
            <w:noWrap/>
            <w:vAlign w:val="bottom"/>
            <w:hideMark/>
          </w:tcPr>
          <w:p w14:paraId="3EF7F5F9"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81" w:type="dxa"/>
            <w:tcBorders>
              <w:top w:val="nil"/>
              <w:left w:val="nil"/>
              <w:bottom w:val="single" w:sz="4" w:space="0" w:color="auto"/>
              <w:right w:val="single" w:sz="4" w:space="0" w:color="auto"/>
            </w:tcBorders>
            <w:shd w:val="clear" w:color="auto" w:fill="auto"/>
            <w:noWrap/>
            <w:vAlign w:val="bottom"/>
            <w:hideMark/>
          </w:tcPr>
          <w:p w14:paraId="49A437CF"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40" w:type="dxa"/>
            <w:tcBorders>
              <w:top w:val="nil"/>
              <w:left w:val="nil"/>
              <w:bottom w:val="single" w:sz="4" w:space="0" w:color="auto"/>
              <w:right w:val="double" w:sz="6" w:space="0" w:color="auto"/>
            </w:tcBorders>
            <w:shd w:val="clear" w:color="auto" w:fill="auto"/>
            <w:noWrap/>
            <w:vAlign w:val="bottom"/>
            <w:hideMark/>
          </w:tcPr>
          <w:p w14:paraId="3BFDED12"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65" w:type="dxa"/>
            <w:tcBorders>
              <w:top w:val="nil"/>
              <w:left w:val="nil"/>
              <w:bottom w:val="single" w:sz="4" w:space="0" w:color="auto"/>
              <w:right w:val="single" w:sz="4" w:space="0" w:color="auto"/>
            </w:tcBorders>
            <w:shd w:val="clear" w:color="auto" w:fill="auto"/>
            <w:noWrap/>
            <w:vAlign w:val="bottom"/>
            <w:hideMark/>
          </w:tcPr>
          <w:p w14:paraId="177CA275"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27" w:type="dxa"/>
            <w:tcBorders>
              <w:top w:val="nil"/>
              <w:left w:val="nil"/>
              <w:bottom w:val="single" w:sz="4" w:space="0" w:color="auto"/>
              <w:right w:val="double" w:sz="6" w:space="0" w:color="auto"/>
            </w:tcBorders>
            <w:shd w:val="clear" w:color="auto" w:fill="auto"/>
            <w:noWrap/>
            <w:vAlign w:val="bottom"/>
            <w:hideMark/>
          </w:tcPr>
          <w:p w14:paraId="237130F5"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54" w:type="dxa"/>
            <w:tcBorders>
              <w:top w:val="nil"/>
              <w:left w:val="nil"/>
              <w:bottom w:val="single" w:sz="4" w:space="0" w:color="auto"/>
              <w:right w:val="single" w:sz="4" w:space="0" w:color="auto"/>
            </w:tcBorders>
            <w:shd w:val="clear" w:color="auto" w:fill="auto"/>
            <w:noWrap/>
            <w:vAlign w:val="bottom"/>
            <w:hideMark/>
          </w:tcPr>
          <w:p w14:paraId="486FE14C"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730" w:type="dxa"/>
            <w:tcBorders>
              <w:top w:val="nil"/>
              <w:left w:val="nil"/>
              <w:bottom w:val="single" w:sz="4" w:space="0" w:color="auto"/>
              <w:right w:val="double" w:sz="6" w:space="0" w:color="auto"/>
            </w:tcBorders>
            <w:shd w:val="clear" w:color="auto" w:fill="auto"/>
            <w:noWrap/>
            <w:vAlign w:val="bottom"/>
            <w:hideMark/>
          </w:tcPr>
          <w:p w14:paraId="07230697"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706" w:type="dxa"/>
            <w:tcBorders>
              <w:top w:val="nil"/>
              <w:left w:val="nil"/>
              <w:bottom w:val="single" w:sz="4" w:space="0" w:color="auto"/>
              <w:right w:val="single" w:sz="4" w:space="0" w:color="auto"/>
            </w:tcBorders>
            <w:shd w:val="clear" w:color="auto" w:fill="auto"/>
            <w:noWrap/>
            <w:vAlign w:val="bottom"/>
            <w:hideMark/>
          </w:tcPr>
          <w:p w14:paraId="65C08A7F"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824" w:type="dxa"/>
            <w:tcBorders>
              <w:top w:val="nil"/>
              <w:left w:val="nil"/>
              <w:bottom w:val="single" w:sz="4" w:space="0" w:color="auto"/>
              <w:right w:val="single" w:sz="4" w:space="0" w:color="auto"/>
            </w:tcBorders>
            <w:shd w:val="clear" w:color="auto" w:fill="auto"/>
            <w:noWrap/>
            <w:vAlign w:val="bottom"/>
            <w:hideMark/>
          </w:tcPr>
          <w:p w14:paraId="268E1A75"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r>
      <w:tr w:rsidR="00E32B02" w:rsidRPr="00615205" w14:paraId="10863317" w14:textId="77777777" w:rsidTr="00211729">
        <w:trPr>
          <w:trHeight w:val="300"/>
        </w:trPr>
        <w:tc>
          <w:tcPr>
            <w:tcW w:w="328" w:type="dxa"/>
            <w:vMerge/>
            <w:tcBorders>
              <w:top w:val="nil"/>
              <w:left w:val="single" w:sz="4" w:space="0" w:color="auto"/>
              <w:bottom w:val="single" w:sz="4" w:space="0" w:color="auto"/>
              <w:right w:val="single" w:sz="4" w:space="0" w:color="auto"/>
            </w:tcBorders>
            <w:vAlign w:val="center"/>
            <w:hideMark/>
          </w:tcPr>
          <w:p w14:paraId="084F555E" w14:textId="77777777" w:rsidR="00CD2E72" w:rsidRPr="00615205" w:rsidRDefault="00CD2E72" w:rsidP="00CD2E72">
            <w:pPr>
              <w:rPr>
                <w:color w:val="000000"/>
                <w:sz w:val="22"/>
                <w:szCs w:val="22"/>
                <w:lang w:val="bs-Latn-BA" w:eastAsia="bs-Latn-BA"/>
              </w:rPr>
            </w:pPr>
          </w:p>
        </w:tc>
        <w:tc>
          <w:tcPr>
            <w:tcW w:w="4100" w:type="dxa"/>
            <w:vMerge/>
            <w:tcBorders>
              <w:top w:val="nil"/>
              <w:left w:val="single" w:sz="4" w:space="0" w:color="auto"/>
              <w:bottom w:val="single" w:sz="4" w:space="0" w:color="000000"/>
              <w:right w:val="single" w:sz="4" w:space="0" w:color="auto"/>
            </w:tcBorders>
            <w:vAlign w:val="center"/>
            <w:hideMark/>
          </w:tcPr>
          <w:p w14:paraId="668A9C50" w14:textId="77777777" w:rsidR="00CD2E72" w:rsidRPr="00615205" w:rsidRDefault="00CD2E72" w:rsidP="00CD2E72">
            <w:pPr>
              <w:rPr>
                <w:b/>
                <w:bCs/>
                <w:color w:val="000000"/>
                <w:lang w:val="bs-Latn-BA" w:eastAsia="bs-Latn-BA"/>
              </w:rPr>
            </w:pPr>
          </w:p>
        </w:tc>
        <w:tc>
          <w:tcPr>
            <w:tcW w:w="2493" w:type="dxa"/>
            <w:tcBorders>
              <w:top w:val="nil"/>
              <w:left w:val="nil"/>
              <w:bottom w:val="single" w:sz="4" w:space="0" w:color="auto"/>
              <w:right w:val="nil"/>
            </w:tcBorders>
            <w:shd w:val="clear" w:color="auto" w:fill="auto"/>
            <w:noWrap/>
            <w:vAlign w:val="bottom"/>
            <w:hideMark/>
          </w:tcPr>
          <w:p w14:paraId="6E9B867F" w14:textId="77777777" w:rsidR="00CD2E72" w:rsidRPr="00615205" w:rsidRDefault="00CD2E72" w:rsidP="00CD2E72">
            <w:pPr>
              <w:jc w:val="right"/>
              <w:rPr>
                <w:i/>
                <w:iCs/>
                <w:color w:val="000000"/>
                <w:sz w:val="22"/>
                <w:szCs w:val="22"/>
                <w:lang w:val="bs-Latn-BA" w:eastAsia="bs-Latn-BA"/>
              </w:rPr>
            </w:pPr>
            <w:proofErr w:type="spellStart"/>
            <w:r w:rsidRPr="00615205">
              <w:rPr>
                <w:i/>
                <w:iCs/>
                <w:color w:val="000000"/>
                <w:sz w:val="22"/>
                <w:szCs w:val="22"/>
                <w:lang w:val="bs-Latn-BA" w:eastAsia="bs-Latn-BA"/>
              </w:rPr>
              <w:t>Cache</w:t>
            </w:r>
            <w:proofErr w:type="spellEnd"/>
            <w:r w:rsidRPr="00615205">
              <w:rPr>
                <w:i/>
                <w:iCs/>
                <w:color w:val="000000"/>
                <w:sz w:val="22"/>
                <w:szCs w:val="22"/>
                <w:lang w:val="bs-Latn-BA" w:eastAsia="bs-Latn-BA"/>
              </w:rPr>
              <w:t xml:space="preserve"> memorija</w:t>
            </w:r>
          </w:p>
        </w:tc>
        <w:tc>
          <w:tcPr>
            <w:tcW w:w="606" w:type="dxa"/>
            <w:tcBorders>
              <w:top w:val="nil"/>
              <w:left w:val="double" w:sz="6" w:space="0" w:color="auto"/>
              <w:bottom w:val="single" w:sz="4" w:space="0" w:color="auto"/>
              <w:right w:val="single" w:sz="4" w:space="0" w:color="auto"/>
            </w:tcBorders>
            <w:shd w:val="clear" w:color="auto" w:fill="auto"/>
            <w:noWrap/>
            <w:vAlign w:val="bottom"/>
            <w:hideMark/>
          </w:tcPr>
          <w:p w14:paraId="5F83A361"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67" w:type="dxa"/>
            <w:tcBorders>
              <w:top w:val="nil"/>
              <w:left w:val="nil"/>
              <w:bottom w:val="single" w:sz="4" w:space="0" w:color="auto"/>
              <w:right w:val="double" w:sz="6" w:space="0" w:color="auto"/>
            </w:tcBorders>
            <w:shd w:val="clear" w:color="auto" w:fill="auto"/>
            <w:noWrap/>
            <w:vAlign w:val="bottom"/>
            <w:hideMark/>
          </w:tcPr>
          <w:p w14:paraId="581FBA25"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81" w:type="dxa"/>
            <w:tcBorders>
              <w:top w:val="nil"/>
              <w:left w:val="nil"/>
              <w:bottom w:val="single" w:sz="4" w:space="0" w:color="auto"/>
              <w:right w:val="single" w:sz="4" w:space="0" w:color="auto"/>
            </w:tcBorders>
            <w:shd w:val="clear" w:color="auto" w:fill="auto"/>
            <w:noWrap/>
            <w:vAlign w:val="bottom"/>
            <w:hideMark/>
          </w:tcPr>
          <w:p w14:paraId="54350B96"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40" w:type="dxa"/>
            <w:tcBorders>
              <w:top w:val="nil"/>
              <w:left w:val="nil"/>
              <w:bottom w:val="single" w:sz="4" w:space="0" w:color="auto"/>
              <w:right w:val="double" w:sz="6" w:space="0" w:color="auto"/>
            </w:tcBorders>
            <w:shd w:val="clear" w:color="auto" w:fill="auto"/>
            <w:noWrap/>
            <w:vAlign w:val="bottom"/>
            <w:hideMark/>
          </w:tcPr>
          <w:p w14:paraId="120A53C9"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65" w:type="dxa"/>
            <w:tcBorders>
              <w:top w:val="nil"/>
              <w:left w:val="nil"/>
              <w:bottom w:val="single" w:sz="4" w:space="0" w:color="auto"/>
              <w:right w:val="single" w:sz="4" w:space="0" w:color="auto"/>
            </w:tcBorders>
            <w:shd w:val="clear" w:color="auto" w:fill="auto"/>
            <w:noWrap/>
            <w:vAlign w:val="bottom"/>
            <w:hideMark/>
          </w:tcPr>
          <w:p w14:paraId="313CF4C7"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27" w:type="dxa"/>
            <w:tcBorders>
              <w:top w:val="nil"/>
              <w:left w:val="nil"/>
              <w:bottom w:val="single" w:sz="4" w:space="0" w:color="auto"/>
              <w:right w:val="double" w:sz="6" w:space="0" w:color="auto"/>
            </w:tcBorders>
            <w:shd w:val="clear" w:color="auto" w:fill="auto"/>
            <w:noWrap/>
            <w:vAlign w:val="bottom"/>
            <w:hideMark/>
          </w:tcPr>
          <w:p w14:paraId="0A8736F6"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54" w:type="dxa"/>
            <w:tcBorders>
              <w:top w:val="nil"/>
              <w:left w:val="nil"/>
              <w:bottom w:val="single" w:sz="4" w:space="0" w:color="auto"/>
              <w:right w:val="single" w:sz="4" w:space="0" w:color="auto"/>
            </w:tcBorders>
            <w:shd w:val="clear" w:color="auto" w:fill="auto"/>
            <w:noWrap/>
            <w:vAlign w:val="bottom"/>
            <w:hideMark/>
          </w:tcPr>
          <w:p w14:paraId="0054257B"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730" w:type="dxa"/>
            <w:tcBorders>
              <w:top w:val="nil"/>
              <w:left w:val="nil"/>
              <w:bottom w:val="single" w:sz="4" w:space="0" w:color="auto"/>
              <w:right w:val="double" w:sz="6" w:space="0" w:color="auto"/>
            </w:tcBorders>
            <w:shd w:val="clear" w:color="auto" w:fill="auto"/>
            <w:noWrap/>
            <w:vAlign w:val="bottom"/>
            <w:hideMark/>
          </w:tcPr>
          <w:p w14:paraId="372E964F"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706" w:type="dxa"/>
            <w:tcBorders>
              <w:top w:val="nil"/>
              <w:left w:val="nil"/>
              <w:bottom w:val="single" w:sz="4" w:space="0" w:color="auto"/>
              <w:right w:val="single" w:sz="4" w:space="0" w:color="auto"/>
            </w:tcBorders>
            <w:shd w:val="clear" w:color="auto" w:fill="auto"/>
            <w:noWrap/>
            <w:vAlign w:val="bottom"/>
            <w:hideMark/>
          </w:tcPr>
          <w:p w14:paraId="11491824"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824" w:type="dxa"/>
            <w:tcBorders>
              <w:top w:val="nil"/>
              <w:left w:val="nil"/>
              <w:bottom w:val="single" w:sz="4" w:space="0" w:color="auto"/>
              <w:right w:val="single" w:sz="4" w:space="0" w:color="auto"/>
            </w:tcBorders>
            <w:shd w:val="clear" w:color="auto" w:fill="auto"/>
            <w:noWrap/>
            <w:vAlign w:val="bottom"/>
            <w:hideMark/>
          </w:tcPr>
          <w:p w14:paraId="3C2FCADC"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r>
      <w:tr w:rsidR="00CD2E72" w:rsidRPr="00615205" w14:paraId="706D6EF6" w14:textId="77777777" w:rsidTr="00211729">
        <w:trPr>
          <w:trHeight w:val="300"/>
        </w:trPr>
        <w:tc>
          <w:tcPr>
            <w:tcW w:w="1342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62B2AE" w14:textId="77777777" w:rsidR="00CD2E72" w:rsidRPr="00615205" w:rsidRDefault="00CD2E72" w:rsidP="00CD2E72">
            <w:pPr>
              <w:jc w:val="center"/>
              <w:rPr>
                <w:color w:val="000000"/>
                <w:sz w:val="22"/>
                <w:szCs w:val="22"/>
                <w:lang w:val="bs-Latn-BA" w:eastAsia="bs-Latn-BA"/>
              </w:rPr>
            </w:pPr>
            <w:r w:rsidRPr="00615205">
              <w:rPr>
                <w:color w:val="000000"/>
                <w:sz w:val="22"/>
                <w:szCs w:val="22"/>
                <w:lang w:val="bs-Latn-BA" w:eastAsia="bs-Latn-BA"/>
              </w:rPr>
              <w:t> </w:t>
            </w:r>
          </w:p>
        </w:tc>
      </w:tr>
      <w:tr w:rsidR="00E32B02" w:rsidRPr="00615205" w14:paraId="388DB5D3" w14:textId="77777777" w:rsidTr="00211729">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3146C496" w14:textId="77777777" w:rsidR="00CD2E72" w:rsidRPr="00615205" w:rsidRDefault="00CD2E72" w:rsidP="00CD2E72">
            <w:pPr>
              <w:jc w:val="center"/>
              <w:rPr>
                <w:color w:val="000000"/>
                <w:sz w:val="22"/>
                <w:szCs w:val="22"/>
                <w:lang w:val="bs-Latn-BA" w:eastAsia="bs-Latn-BA"/>
              </w:rPr>
            </w:pPr>
            <w:r w:rsidRPr="00615205">
              <w:rPr>
                <w:color w:val="000000"/>
                <w:sz w:val="22"/>
                <w:szCs w:val="22"/>
                <w:lang w:val="bs-Latn-BA" w:eastAsia="bs-Latn-BA"/>
              </w:rPr>
              <w:t>2</w:t>
            </w:r>
          </w:p>
        </w:tc>
        <w:tc>
          <w:tcPr>
            <w:tcW w:w="4100" w:type="dxa"/>
            <w:tcBorders>
              <w:top w:val="nil"/>
              <w:left w:val="nil"/>
              <w:bottom w:val="single" w:sz="4" w:space="0" w:color="auto"/>
              <w:right w:val="single" w:sz="4" w:space="0" w:color="auto"/>
            </w:tcBorders>
            <w:shd w:val="clear" w:color="auto" w:fill="auto"/>
            <w:noWrap/>
            <w:vAlign w:val="bottom"/>
            <w:hideMark/>
          </w:tcPr>
          <w:p w14:paraId="02F073A8" w14:textId="77777777" w:rsidR="00CD2E72" w:rsidRPr="00615205" w:rsidRDefault="00CD2E72" w:rsidP="00CD2E72">
            <w:pPr>
              <w:rPr>
                <w:b/>
                <w:bCs/>
                <w:color w:val="000000"/>
                <w:lang w:val="bs-Latn-BA" w:eastAsia="bs-Latn-BA"/>
              </w:rPr>
            </w:pPr>
            <w:r w:rsidRPr="00615205">
              <w:rPr>
                <w:b/>
                <w:bCs/>
                <w:color w:val="000000"/>
                <w:lang w:val="bs-Latn-BA" w:eastAsia="bs-Latn-BA"/>
              </w:rPr>
              <w:t>Memorija (</w:t>
            </w:r>
            <w:proofErr w:type="spellStart"/>
            <w:r w:rsidRPr="00615205">
              <w:rPr>
                <w:b/>
                <w:bCs/>
                <w:color w:val="000000"/>
                <w:lang w:val="bs-Latn-BA" w:eastAsia="bs-Latn-BA"/>
              </w:rPr>
              <w:t>eng</w:t>
            </w:r>
            <w:proofErr w:type="spellEnd"/>
            <w:r w:rsidRPr="00615205">
              <w:rPr>
                <w:b/>
                <w:bCs/>
                <w:color w:val="000000"/>
                <w:lang w:val="bs-Latn-BA" w:eastAsia="bs-Latn-BA"/>
              </w:rPr>
              <w:t xml:space="preserve">.  </w:t>
            </w:r>
            <w:proofErr w:type="spellStart"/>
            <w:r w:rsidRPr="00615205">
              <w:rPr>
                <w:b/>
                <w:bCs/>
                <w:color w:val="000000"/>
                <w:lang w:val="bs-Latn-BA" w:eastAsia="bs-Latn-BA"/>
              </w:rPr>
              <w:t>Memory</w:t>
            </w:r>
            <w:proofErr w:type="spellEnd"/>
            <w:r w:rsidRPr="00615205">
              <w:rPr>
                <w:b/>
                <w:bCs/>
                <w:color w:val="000000"/>
                <w:lang w:val="bs-Latn-BA" w:eastAsia="bs-Latn-BA"/>
              </w:rPr>
              <w:t>)</w:t>
            </w:r>
          </w:p>
        </w:tc>
        <w:tc>
          <w:tcPr>
            <w:tcW w:w="2493" w:type="dxa"/>
            <w:tcBorders>
              <w:top w:val="nil"/>
              <w:left w:val="nil"/>
              <w:bottom w:val="single" w:sz="4" w:space="0" w:color="auto"/>
              <w:right w:val="nil"/>
            </w:tcBorders>
            <w:shd w:val="clear" w:color="auto" w:fill="auto"/>
            <w:noWrap/>
            <w:vAlign w:val="bottom"/>
            <w:hideMark/>
          </w:tcPr>
          <w:p w14:paraId="5D919A3E" w14:textId="77777777" w:rsidR="00CD2E72" w:rsidRPr="00615205" w:rsidRDefault="00CD2E72" w:rsidP="00CD2E72">
            <w:pPr>
              <w:jc w:val="right"/>
              <w:rPr>
                <w:i/>
                <w:iCs/>
                <w:color w:val="000000"/>
                <w:sz w:val="22"/>
                <w:szCs w:val="22"/>
                <w:lang w:val="bs-Latn-BA" w:eastAsia="bs-Latn-BA"/>
              </w:rPr>
            </w:pPr>
            <w:r w:rsidRPr="00615205">
              <w:rPr>
                <w:i/>
                <w:iCs/>
                <w:color w:val="000000"/>
                <w:sz w:val="22"/>
                <w:szCs w:val="22"/>
                <w:lang w:val="bs-Latn-BA" w:eastAsia="bs-Latn-BA"/>
              </w:rPr>
              <w:t>Kapacitet</w:t>
            </w:r>
          </w:p>
        </w:tc>
        <w:tc>
          <w:tcPr>
            <w:tcW w:w="606" w:type="dxa"/>
            <w:tcBorders>
              <w:top w:val="nil"/>
              <w:left w:val="double" w:sz="6" w:space="0" w:color="auto"/>
              <w:bottom w:val="single" w:sz="4" w:space="0" w:color="auto"/>
              <w:right w:val="single" w:sz="4" w:space="0" w:color="auto"/>
            </w:tcBorders>
            <w:shd w:val="clear" w:color="auto" w:fill="auto"/>
            <w:noWrap/>
            <w:vAlign w:val="bottom"/>
            <w:hideMark/>
          </w:tcPr>
          <w:p w14:paraId="35D72ECB"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67" w:type="dxa"/>
            <w:tcBorders>
              <w:top w:val="nil"/>
              <w:left w:val="nil"/>
              <w:bottom w:val="single" w:sz="4" w:space="0" w:color="auto"/>
              <w:right w:val="double" w:sz="6" w:space="0" w:color="auto"/>
            </w:tcBorders>
            <w:shd w:val="clear" w:color="auto" w:fill="auto"/>
            <w:noWrap/>
            <w:vAlign w:val="bottom"/>
            <w:hideMark/>
          </w:tcPr>
          <w:p w14:paraId="1B2AEC4D"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81" w:type="dxa"/>
            <w:tcBorders>
              <w:top w:val="nil"/>
              <w:left w:val="nil"/>
              <w:bottom w:val="single" w:sz="4" w:space="0" w:color="auto"/>
              <w:right w:val="single" w:sz="4" w:space="0" w:color="auto"/>
            </w:tcBorders>
            <w:shd w:val="clear" w:color="auto" w:fill="auto"/>
            <w:noWrap/>
            <w:vAlign w:val="bottom"/>
            <w:hideMark/>
          </w:tcPr>
          <w:p w14:paraId="58B8158C"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40" w:type="dxa"/>
            <w:tcBorders>
              <w:top w:val="nil"/>
              <w:left w:val="nil"/>
              <w:bottom w:val="single" w:sz="4" w:space="0" w:color="auto"/>
              <w:right w:val="double" w:sz="6" w:space="0" w:color="auto"/>
            </w:tcBorders>
            <w:shd w:val="clear" w:color="auto" w:fill="auto"/>
            <w:noWrap/>
            <w:vAlign w:val="bottom"/>
            <w:hideMark/>
          </w:tcPr>
          <w:p w14:paraId="291F71F4"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65" w:type="dxa"/>
            <w:tcBorders>
              <w:top w:val="nil"/>
              <w:left w:val="nil"/>
              <w:bottom w:val="single" w:sz="4" w:space="0" w:color="auto"/>
              <w:right w:val="single" w:sz="4" w:space="0" w:color="auto"/>
            </w:tcBorders>
            <w:shd w:val="clear" w:color="auto" w:fill="auto"/>
            <w:noWrap/>
            <w:vAlign w:val="bottom"/>
            <w:hideMark/>
          </w:tcPr>
          <w:p w14:paraId="36636C2B"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27" w:type="dxa"/>
            <w:tcBorders>
              <w:top w:val="nil"/>
              <w:left w:val="nil"/>
              <w:bottom w:val="single" w:sz="4" w:space="0" w:color="auto"/>
              <w:right w:val="double" w:sz="6" w:space="0" w:color="auto"/>
            </w:tcBorders>
            <w:shd w:val="clear" w:color="auto" w:fill="auto"/>
            <w:noWrap/>
            <w:vAlign w:val="bottom"/>
            <w:hideMark/>
          </w:tcPr>
          <w:p w14:paraId="1F396EE3"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54" w:type="dxa"/>
            <w:tcBorders>
              <w:top w:val="nil"/>
              <w:left w:val="nil"/>
              <w:bottom w:val="single" w:sz="4" w:space="0" w:color="auto"/>
              <w:right w:val="single" w:sz="4" w:space="0" w:color="auto"/>
            </w:tcBorders>
            <w:shd w:val="clear" w:color="auto" w:fill="auto"/>
            <w:noWrap/>
            <w:vAlign w:val="bottom"/>
            <w:hideMark/>
          </w:tcPr>
          <w:p w14:paraId="795FB5F4"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730" w:type="dxa"/>
            <w:tcBorders>
              <w:top w:val="nil"/>
              <w:left w:val="nil"/>
              <w:bottom w:val="single" w:sz="4" w:space="0" w:color="auto"/>
              <w:right w:val="double" w:sz="6" w:space="0" w:color="auto"/>
            </w:tcBorders>
            <w:shd w:val="clear" w:color="auto" w:fill="auto"/>
            <w:noWrap/>
            <w:vAlign w:val="bottom"/>
            <w:hideMark/>
          </w:tcPr>
          <w:p w14:paraId="67D45A62"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706" w:type="dxa"/>
            <w:tcBorders>
              <w:top w:val="nil"/>
              <w:left w:val="nil"/>
              <w:bottom w:val="single" w:sz="4" w:space="0" w:color="auto"/>
              <w:right w:val="single" w:sz="4" w:space="0" w:color="auto"/>
            </w:tcBorders>
            <w:shd w:val="clear" w:color="auto" w:fill="auto"/>
            <w:noWrap/>
            <w:vAlign w:val="bottom"/>
            <w:hideMark/>
          </w:tcPr>
          <w:p w14:paraId="589C4E79"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824" w:type="dxa"/>
            <w:tcBorders>
              <w:top w:val="nil"/>
              <w:left w:val="nil"/>
              <w:bottom w:val="single" w:sz="4" w:space="0" w:color="auto"/>
              <w:right w:val="single" w:sz="4" w:space="0" w:color="auto"/>
            </w:tcBorders>
            <w:shd w:val="clear" w:color="auto" w:fill="auto"/>
            <w:noWrap/>
            <w:vAlign w:val="bottom"/>
            <w:hideMark/>
          </w:tcPr>
          <w:p w14:paraId="7F7B4EDF"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r>
      <w:tr w:rsidR="00CD2E72" w:rsidRPr="00615205" w14:paraId="2603DC8D" w14:textId="77777777" w:rsidTr="00211729">
        <w:trPr>
          <w:trHeight w:val="300"/>
        </w:trPr>
        <w:tc>
          <w:tcPr>
            <w:tcW w:w="1342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854063" w14:textId="77777777" w:rsidR="00CD2E72" w:rsidRPr="00615205" w:rsidRDefault="00CD2E72" w:rsidP="00CD2E72">
            <w:pPr>
              <w:jc w:val="center"/>
              <w:rPr>
                <w:color w:val="000000"/>
                <w:sz w:val="22"/>
                <w:szCs w:val="22"/>
                <w:lang w:val="bs-Latn-BA" w:eastAsia="bs-Latn-BA"/>
              </w:rPr>
            </w:pPr>
            <w:r w:rsidRPr="00615205">
              <w:rPr>
                <w:color w:val="000000"/>
                <w:sz w:val="22"/>
                <w:szCs w:val="22"/>
                <w:lang w:val="bs-Latn-BA" w:eastAsia="bs-Latn-BA"/>
              </w:rPr>
              <w:t> </w:t>
            </w:r>
          </w:p>
        </w:tc>
      </w:tr>
      <w:tr w:rsidR="00E32B02" w:rsidRPr="00615205" w14:paraId="0498288E" w14:textId="77777777" w:rsidTr="00211729">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7D30C4BE" w14:textId="77777777" w:rsidR="00CD2E72" w:rsidRPr="00615205" w:rsidRDefault="00CD2E72" w:rsidP="00CD2E72">
            <w:pPr>
              <w:jc w:val="center"/>
              <w:rPr>
                <w:color w:val="000000"/>
                <w:sz w:val="22"/>
                <w:szCs w:val="22"/>
                <w:lang w:val="bs-Latn-BA" w:eastAsia="bs-Latn-BA"/>
              </w:rPr>
            </w:pPr>
            <w:r w:rsidRPr="00615205">
              <w:rPr>
                <w:color w:val="000000"/>
                <w:sz w:val="22"/>
                <w:szCs w:val="22"/>
                <w:lang w:val="bs-Latn-BA" w:eastAsia="bs-Latn-BA"/>
              </w:rPr>
              <w:t>3</w:t>
            </w:r>
          </w:p>
        </w:tc>
        <w:tc>
          <w:tcPr>
            <w:tcW w:w="4100" w:type="dxa"/>
            <w:tcBorders>
              <w:top w:val="nil"/>
              <w:left w:val="nil"/>
              <w:bottom w:val="single" w:sz="4" w:space="0" w:color="auto"/>
              <w:right w:val="single" w:sz="4" w:space="0" w:color="auto"/>
            </w:tcBorders>
            <w:shd w:val="clear" w:color="auto" w:fill="auto"/>
            <w:noWrap/>
            <w:vAlign w:val="bottom"/>
            <w:hideMark/>
          </w:tcPr>
          <w:p w14:paraId="52F89DB7" w14:textId="77777777" w:rsidR="00CD2E72" w:rsidRPr="00615205" w:rsidRDefault="00CD2E72" w:rsidP="00CD2E72">
            <w:pPr>
              <w:rPr>
                <w:b/>
                <w:bCs/>
                <w:color w:val="000000"/>
                <w:lang w:val="bs-Latn-BA" w:eastAsia="bs-Latn-BA"/>
              </w:rPr>
            </w:pPr>
            <w:r w:rsidRPr="00615205">
              <w:rPr>
                <w:b/>
                <w:bCs/>
                <w:color w:val="000000"/>
                <w:lang w:val="bs-Latn-BA" w:eastAsia="bs-Latn-BA"/>
              </w:rPr>
              <w:t>Tvrdi disk (</w:t>
            </w:r>
            <w:proofErr w:type="spellStart"/>
            <w:r w:rsidRPr="00615205">
              <w:rPr>
                <w:b/>
                <w:bCs/>
                <w:color w:val="000000"/>
                <w:lang w:val="bs-Latn-BA" w:eastAsia="bs-Latn-BA"/>
              </w:rPr>
              <w:t>eng</w:t>
            </w:r>
            <w:proofErr w:type="spellEnd"/>
            <w:r w:rsidRPr="00615205">
              <w:rPr>
                <w:b/>
                <w:bCs/>
                <w:color w:val="000000"/>
                <w:lang w:val="bs-Latn-BA" w:eastAsia="bs-Latn-BA"/>
              </w:rPr>
              <w:t xml:space="preserve">. Hard </w:t>
            </w:r>
            <w:proofErr w:type="spellStart"/>
            <w:r w:rsidRPr="00615205">
              <w:rPr>
                <w:b/>
                <w:bCs/>
                <w:color w:val="000000"/>
                <w:lang w:val="bs-Latn-BA" w:eastAsia="bs-Latn-BA"/>
              </w:rPr>
              <w:t>Drive</w:t>
            </w:r>
            <w:proofErr w:type="spellEnd"/>
            <w:r w:rsidRPr="00615205">
              <w:rPr>
                <w:b/>
                <w:bCs/>
                <w:color w:val="000000"/>
                <w:lang w:val="bs-Latn-BA" w:eastAsia="bs-Latn-BA"/>
              </w:rPr>
              <w:t>)</w:t>
            </w:r>
          </w:p>
        </w:tc>
        <w:tc>
          <w:tcPr>
            <w:tcW w:w="2493" w:type="dxa"/>
            <w:tcBorders>
              <w:top w:val="nil"/>
              <w:left w:val="nil"/>
              <w:bottom w:val="single" w:sz="4" w:space="0" w:color="auto"/>
              <w:right w:val="nil"/>
            </w:tcBorders>
            <w:shd w:val="clear" w:color="auto" w:fill="auto"/>
            <w:noWrap/>
            <w:vAlign w:val="bottom"/>
            <w:hideMark/>
          </w:tcPr>
          <w:p w14:paraId="26C75684" w14:textId="77777777" w:rsidR="00CD2E72" w:rsidRPr="00615205" w:rsidRDefault="00CD2E72" w:rsidP="00CD2E72">
            <w:pPr>
              <w:jc w:val="right"/>
              <w:rPr>
                <w:i/>
                <w:iCs/>
                <w:color w:val="000000"/>
                <w:sz w:val="22"/>
                <w:szCs w:val="22"/>
                <w:lang w:val="bs-Latn-BA" w:eastAsia="bs-Latn-BA"/>
              </w:rPr>
            </w:pPr>
            <w:r w:rsidRPr="00615205">
              <w:rPr>
                <w:i/>
                <w:iCs/>
                <w:color w:val="000000"/>
                <w:sz w:val="22"/>
                <w:szCs w:val="22"/>
                <w:lang w:val="bs-Latn-BA" w:eastAsia="bs-Latn-BA"/>
              </w:rPr>
              <w:t>Kapacitet</w:t>
            </w:r>
          </w:p>
        </w:tc>
        <w:tc>
          <w:tcPr>
            <w:tcW w:w="606" w:type="dxa"/>
            <w:tcBorders>
              <w:top w:val="nil"/>
              <w:left w:val="double" w:sz="6" w:space="0" w:color="auto"/>
              <w:bottom w:val="single" w:sz="4" w:space="0" w:color="auto"/>
              <w:right w:val="single" w:sz="4" w:space="0" w:color="auto"/>
            </w:tcBorders>
            <w:shd w:val="clear" w:color="auto" w:fill="auto"/>
            <w:noWrap/>
            <w:vAlign w:val="bottom"/>
            <w:hideMark/>
          </w:tcPr>
          <w:p w14:paraId="484EC20C"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67" w:type="dxa"/>
            <w:tcBorders>
              <w:top w:val="nil"/>
              <w:left w:val="nil"/>
              <w:bottom w:val="single" w:sz="4" w:space="0" w:color="auto"/>
              <w:right w:val="double" w:sz="6" w:space="0" w:color="auto"/>
            </w:tcBorders>
            <w:shd w:val="clear" w:color="auto" w:fill="auto"/>
            <w:noWrap/>
            <w:vAlign w:val="bottom"/>
            <w:hideMark/>
          </w:tcPr>
          <w:p w14:paraId="107713C3"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81" w:type="dxa"/>
            <w:tcBorders>
              <w:top w:val="nil"/>
              <w:left w:val="nil"/>
              <w:bottom w:val="single" w:sz="4" w:space="0" w:color="auto"/>
              <w:right w:val="single" w:sz="4" w:space="0" w:color="auto"/>
            </w:tcBorders>
            <w:shd w:val="clear" w:color="auto" w:fill="auto"/>
            <w:noWrap/>
            <w:vAlign w:val="bottom"/>
            <w:hideMark/>
          </w:tcPr>
          <w:p w14:paraId="433DEBAB"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40" w:type="dxa"/>
            <w:tcBorders>
              <w:top w:val="nil"/>
              <w:left w:val="nil"/>
              <w:bottom w:val="single" w:sz="4" w:space="0" w:color="auto"/>
              <w:right w:val="double" w:sz="6" w:space="0" w:color="auto"/>
            </w:tcBorders>
            <w:shd w:val="clear" w:color="auto" w:fill="auto"/>
            <w:noWrap/>
            <w:vAlign w:val="bottom"/>
            <w:hideMark/>
          </w:tcPr>
          <w:p w14:paraId="3986D211"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65" w:type="dxa"/>
            <w:tcBorders>
              <w:top w:val="nil"/>
              <w:left w:val="nil"/>
              <w:bottom w:val="single" w:sz="4" w:space="0" w:color="auto"/>
              <w:right w:val="single" w:sz="4" w:space="0" w:color="auto"/>
            </w:tcBorders>
            <w:shd w:val="clear" w:color="auto" w:fill="auto"/>
            <w:noWrap/>
            <w:vAlign w:val="bottom"/>
            <w:hideMark/>
          </w:tcPr>
          <w:p w14:paraId="0435B2F1"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27" w:type="dxa"/>
            <w:tcBorders>
              <w:top w:val="nil"/>
              <w:left w:val="nil"/>
              <w:bottom w:val="single" w:sz="4" w:space="0" w:color="auto"/>
              <w:right w:val="double" w:sz="6" w:space="0" w:color="auto"/>
            </w:tcBorders>
            <w:shd w:val="clear" w:color="auto" w:fill="auto"/>
            <w:noWrap/>
            <w:vAlign w:val="bottom"/>
            <w:hideMark/>
          </w:tcPr>
          <w:p w14:paraId="1B1E7615"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54" w:type="dxa"/>
            <w:tcBorders>
              <w:top w:val="nil"/>
              <w:left w:val="nil"/>
              <w:bottom w:val="single" w:sz="4" w:space="0" w:color="auto"/>
              <w:right w:val="single" w:sz="4" w:space="0" w:color="auto"/>
            </w:tcBorders>
            <w:shd w:val="clear" w:color="auto" w:fill="auto"/>
            <w:noWrap/>
            <w:vAlign w:val="bottom"/>
            <w:hideMark/>
          </w:tcPr>
          <w:p w14:paraId="7AA4D5BF"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730" w:type="dxa"/>
            <w:tcBorders>
              <w:top w:val="nil"/>
              <w:left w:val="nil"/>
              <w:bottom w:val="single" w:sz="4" w:space="0" w:color="auto"/>
              <w:right w:val="double" w:sz="6" w:space="0" w:color="auto"/>
            </w:tcBorders>
            <w:shd w:val="clear" w:color="auto" w:fill="auto"/>
            <w:noWrap/>
            <w:vAlign w:val="bottom"/>
            <w:hideMark/>
          </w:tcPr>
          <w:p w14:paraId="20A90397"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706" w:type="dxa"/>
            <w:tcBorders>
              <w:top w:val="nil"/>
              <w:left w:val="nil"/>
              <w:bottom w:val="single" w:sz="4" w:space="0" w:color="auto"/>
              <w:right w:val="single" w:sz="4" w:space="0" w:color="auto"/>
            </w:tcBorders>
            <w:shd w:val="clear" w:color="auto" w:fill="auto"/>
            <w:noWrap/>
            <w:vAlign w:val="bottom"/>
            <w:hideMark/>
          </w:tcPr>
          <w:p w14:paraId="0EFB6D6F"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824" w:type="dxa"/>
            <w:tcBorders>
              <w:top w:val="nil"/>
              <w:left w:val="nil"/>
              <w:bottom w:val="single" w:sz="4" w:space="0" w:color="auto"/>
              <w:right w:val="single" w:sz="4" w:space="0" w:color="auto"/>
            </w:tcBorders>
            <w:shd w:val="clear" w:color="auto" w:fill="auto"/>
            <w:noWrap/>
            <w:vAlign w:val="bottom"/>
            <w:hideMark/>
          </w:tcPr>
          <w:p w14:paraId="5EA1E9EE"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r>
      <w:tr w:rsidR="00CD2E72" w:rsidRPr="00615205" w14:paraId="4A7DB06D" w14:textId="77777777" w:rsidTr="00211729">
        <w:trPr>
          <w:trHeight w:val="300"/>
        </w:trPr>
        <w:tc>
          <w:tcPr>
            <w:tcW w:w="1342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5881F0" w14:textId="77777777" w:rsidR="00CD2E72" w:rsidRPr="00615205" w:rsidRDefault="00CD2E72" w:rsidP="00CD2E72">
            <w:pPr>
              <w:jc w:val="center"/>
              <w:rPr>
                <w:color w:val="000000"/>
                <w:sz w:val="22"/>
                <w:szCs w:val="22"/>
                <w:lang w:val="bs-Latn-BA" w:eastAsia="bs-Latn-BA"/>
              </w:rPr>
            </w:pPr>
            <w:r w:rsidRPr="00615205">
              <w:rPr>
                <w:color w:val="000000"/>
                <w:sz w:val="22"/>
                <w:szCs w:val="22"/>
                <w:lang w:val="bs-Latn-BA" w:eastAsia="bs-Latn-BA"/>
              </w:rPr>
              <w:t> </w:t>
            </w:r>
          </w:p>
        </w:tc>
      </w:tr>
      <w:tr w:rsidR="00E32B02" w:rsidRPr="00615205" w14:paraId="2DB30648" w14:textId="77777777" w:rsidTr="00211729">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52E61013" w14:textId="77777777" w:rsidR="00CD2E72" w:rsidRPr="00615205" w:rsidRDefault="00CD2E72" w:rsidP="00CD2E72">
            <w:pPr>
              <w:jc w:val="center"/>
              <w:rPr>
                <w:color w:val="000000"/>
                <w:sz w:val="22"/>
                <w:szCs w:val="22"/>
                <w:lang w:val="bs-Latn-BA" w:eastAsia="bs-Latn-BA"/>
              </w:rPr>
            </w:pPr>
            <w:r w:rsidRPr="00615205">
              <w:rPr>
                <w:color w:val="000000"/>
                <w:sz w:val="22"/>
                <w:szCs w:val="22"/>
                <w:lang w:val="bs-Latn-BA" w:eastAsia="bs-Latn-BA"/>
              </w:rPr>
              <w:t>4</w:t>
            </w:r>
          </w:p>
        </w:tc>
        <w:tc>
          <w:tcPr>
            <w:tcW w:w="6593" w:type="dxa"/>
            <w:gridSpan w:val="2"/>
            <w:tcBorders>
              <w:top w:val="single" w:sz="4" w:space="0" w:color="auto"/>
              <w:left w:val="nil"/>
              <w:bottom w:val="single" w:sz="4" w:space="0" w:color="auto"/>
              <w:right w:val="nil"/>
            </w:tcBorders>
            <w:shd w:val="clear" w:color="auto" w:fill="auto"/>
            <w:noWrap/>
            <w:vAlign w:val="bottom"/>
            <w:hideMark/>
          </w:tcPr>
          <w:p w14:paraId="5F0397DF" w14:textId="77777777" w:rsidR="00CD2E72" w:rsidRPr="00615205" w:rsidRDefault="00CD2E72" w:rsidP="00CD2E72">
            <w:pPr>
              <w:rPr>
                <w:b/>
                <w:bCs/>
                <w:color w:val="000000"/>
                <w:lang w:val="bs-Latn-BA" w:eastAsia="bs-Latn-BA"/>
              </w:rPr>
            </w:pPr>
            <w:r w:rsidRPr="00615205">
              <w:rPr>
                <w:b/>
                <w:bCs/>
                <w:color w:val="000000"/>
                <w:lang w:val="bs-Latn-BA" w:eastAsia="bs-Latn-BA"/>
              </w:rPr>
              <w:t>Priključci (</w:t>
            </w:r>
            <w:proofErr w:type="spellStart"/>
            <w:r w:rsidRPr="00615205">
              <w:rPr>
                <w:b/>
                <w:bCs/>
                <w:color w:val="000000"/>
                <w:lang w:val="bs-Latn-BA" w:eastAsia="bs-Latn-BA"/>
              </w:rPr>
              <w:t>eng</w:t>
            </w:r>
            <w:proofErr w:type="spellEnd"/>
            <w:r w:rsidRPr="00615205">
              <w:rPr>
                <w:b/>
                <w:bCs/>
                <w:color w:val="000000"/>
                <w:lang w:val="bs-Latn-BA" w:eastAsia="bs-Latn-BA"/>
              </w:rPr>
              <w:t xml:space="preserve">. </w:t>
            </w:r>
            <w:proofErr w:type="spellStart"/>
            <w:r w:rsidRPr="00615205">
              <w:rPr>
                <w:b/>
                <w:bCs/>
                <w:color w:val="000000"/>
                <w:lang w:val="bs-Latn-BA" w:eastAsia="bs-Latn-BA"/>
              </w:rPr>
              <w:t>Ports</w:t>
            </w:r>
            <w:proofErr w:type="spellEnd"/>
            <w:r w:rsidRPr="00615205">
              <w:rPr>
                <w:b/>
                <w:bCs/>
                <w:color w:val="000000"/>
                <w:lang w:val="bs-Latn-BA" w:eastAsia="bs-Latn-BA"/>
              </w:rPr>
              <w:t>)</w:t>
            </w:r>
          </w:p>
        </w:tc>
        <w:tc>
          <w:tcPr>
            <w:tcW w:w="606" w:type="dxa"/>
            <w:tcBorders>
              <w:top w:val="nil"/>
              <w:left w:val="double" w:sz="6" w:space="0" w:color="auto"/>
              <w:bottom w:val="single" w:sz="4" w:space="0" w:color="auto"/>
              <w:right w:val="single" w:sz="4" w:space="0" w:color="auto"/>
            </w:tcBorders>
            <w:shd w:val="clear" w:color="auto" w:fill="auto"/>
            <w:noWrap/>
            <w:vAlign w:val="bottom"/>
            <w:hideMark/>
          </w:tcPr>
          <w:p w14:paraId="27E6203A"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67" w:type="dxa"/>
            <w:tcBorders>
              <w:top w:val="nil"/>
              <w:left w:val="nil"/>
              <w:bottom w:val="single" w:sz="4" w:space="0" w:color="auto"/>
              <w:right w:val="double" w:sz="6" w:space="0" w:color="auto"/>
            </w:tcBorders>
            <w:shd w:val="clear" w:color="auto" w:fill="auto"/>
            <w:noWrap/>
            <w:vAlign w:val="bottom"/>
            <w:hideMark/>
          </w:tcPr>
          <w:p w14:paraId="426F1F38"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81" w:type="dxa"/>
            <w:tcBorders>
              <w:top w:val="nil"/>
              <w:left w:val="nil"/>
              <w:bottom w:val="single" w:sz="4" w:space="0" w:color="auto"/>
              <w:right w:val="single" w:sz="4" w:space="0" w:color="auto"/>
            </w:tcBorders>
            <w:shd w:val="clear" w:color="auto" w:fill="auto"/>
            <w:noWrap/>
            <w:vAlign w:val="bottom"/>
            <w:hideMark/>
          </w:tcPr>
          <w:p w14:paraId="3C0D927E"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40" w:type="dxa"/>
            <w:tcBorders>
              <w:top w:val="nil"/>
              <w:left w:val="nil"/>
              <w:bottom w:val="single" w:sz="4" w:space="0" w:color="auto"/>
              <w:right w:val="double" w:sz="6" w:space="0" w:color="auto"/>
            </w:tcBorders>
            <w:shd w:val="clear" w:color="auto" w:fill="auto"/>
            <w:noWrap/>
            <w:vAlign w:val="bottom"/>
            <w:hideMark/>
          </w:tcPr>
          <w:p w14:paraId="6FB9BBDF"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65" w:type="dxa"/>
            <w:tcBorders>
              <w:top w:val="nil"/>
              <w:left w:val="nil"/>
              <w:bottom w:val="single" w:sz="4" w:space="0" w:color="auto"/>
              <w:right w:val="single" w:sz="4" w:space="0" w:color="auto"/>
            </w:tcBorders>
            <w:shd w:val="clear" w:color="auto" w:fill="auto"/>
            <w:noWrap/>
            <w:vAlign w:val="bottom"/>
            <w:hideMark/>
          </w:tcPr>
          <w:p w14:paraId="43693A85"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27" w:type="dxa"/>
            <w:tcBorders>
              <w:top w:val="nil"/>
              <w:left w:val="nil"/>
              <w:bottom w:val="single" w:sz="4" w:space="0" w:color="auto"/>
              <w:right w:val="double" w:sz="6" w:space="0" w:color="auto"/>
            </w:tcBorders>
            <w:shd w:val="clear" w:color="auto" w:fill="auto"/>
            <w:noWrap/>
            <w:vAlign w:val="bottom"/>
            <w:hideMark/>
          </w:tcPr>
          <w:p w14:paraId="36F6D85C"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54" w:type="dxa"/>
            <w:tcBorders>
              <w:top w:val="nil"/>
              <w:left w:val="nil"/>
              <w:bottom w:val="single" w:sz="4" w:space="0" w:color="auto"/>
              <w:right w:val="single" w:sz="4" w:space="0" w:color="auto"/>
            </w:tcBorders>
            <w:shd w:val="clear" w:color="auto" w:fill="auto"/>
            <w:noWrap/>
            <w:vAlign w:val="bottom"/>
            <w:hideMark/>
          </w:tcPr>
          <w:p w14:paraId="36D7054F"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730" w:type="dxa"/>
            <w:tcBorders>
              <w:top w:val="nil"/>
              <w:left w:val="nil"/>
              <w:bottom w:val="single" w:sz="4" w:space="0" w:color="auto"/>
              <w:right w:val="double" w:sz="6" w:space="0" w:color="auto"/>
            </w:tcBorders>
            <w:shd w:val="clear" w:color="auto" w:fill="auto"/>
            <w:noWrap/>
            <w:vAlign w:val="bottom"/>
            <w:hideMark/>
          </w:tcPr>
          <w:p w14:paraId="71F370E7"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706" w:type="dxa"/>
            <w:tcBorders>
              <w:top w:val="nil"/>
              <w:left w:val="nil"/>
              <w:bottom w:val="single" w:sz="4" w:space="0" w:color="auto"/>
              <w:right w:val="single" w:sz="4" w:space="0" w:color="auto"/>
            </w:tcBorders>
            <w:shd w:val="clear" w:color="auto" w:fill="auto"/>
            <w:noWrap/>
            <w:vAlign w:val="bottom"/>
            <w:hideMark/>
          </w:tcPr>
          <w:p w14:paraId="233F3984"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824" w:type="dxa"/>
            <w:tcBorders>
              <w:top w:val="nil"/>
              <w:left w:val="nil"/>
              <w:bottom w:val="single" w:sz="4" w:space="0" w:color="auto"/>
              <w:right w:val="single" w:sz="4" w:space="0" w:color="auto"/>
            </w:tcBorders>
            <w:shd w:val="clear" w:color="auto" w:fill="auto"/>
            <w:noWrap/>
            <w:vAlign w:val="bottom"/>
            <w:hideMark/>
          </w:tcPr>
          <w:p w14:paraId="4B8E507F"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r>
      <w:tr w:rsidR="00CD2E72" w:rsidRPr="00615205" w14:paraId="7C0A3487" w14:textId="77777777" w:rsidTr="00211729">
        <w:trPr>
          <w:trHeight w:val="300"/>
        </w:trPr>
        <w:tc>
          <w:tcPr>
            <w:tcW w:w="13421"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04D272" w14:textId="77777777" w:rsidR="00CD2E72" w:rsidRPr="00615205" w:rsidRDefault="00CD2E72" w:rsidP="00CD2E72">
            <w:pPr>
              <w:jc w:val="center"/>
              <w:rPr>
                <w:color w:val="000000"/>
                <w:sz w:val="22"/>
                <w:szCs w:val="22"/>
                <w:lang w:val="bs-Latn-BA" w:eastAsia="bs-Latn-BA"/>
              </w:rPr>
            </w:pPr>
            <w:r w:rsidRPr="00615205">
              <w:rPr>
                <w:color w:val="000000"/>
                <w:sz w:val="22"/>
                <w:szCs w:val="22"/>
                <w:lang w:val="bs-Latn-BA" w:eastAsia="bs-Latn-BA"/>
              </w:rPr>
              <w:t> </w:t>
            </w:r>
          </w:p>
        </w:tc>
      </w:tr>
      <w:tr w:rsidR="00E32B02" w:rsidRPr="00615205" w14:paraId="544C84B0" w14:textId="77777777" w:rsidTr="00211729">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E8E2C6F" w14:textId="77777777" w:rsidR="00CD2E72" w:rsidRPr="00615205" w:rsidRDefault="00CD2E72" w:rsidP="00CD2E72">
            <w:pPr>
              <w:jc w:val="center"/>
              <w:rPr>
                <w:color w:val="000000"/>
                <w:sz w:val="22"/>
                <w:szCs w:val="22"/>
                <w:lang w:val="bs-Latn-BA" w:eastAsia="bs-Latn-BA"/>
              </w:rPr>
            </w:pPr>
            <w:r w:rsidRPr="00615205">
              <w:rPr>
                <w:color w:val="000000"/>
                <w:sz w:val="22"/>
                <w:szCs w:val="22"/>
                <w:lang w:val="bs-Latn-BA" w:eastAsia="bs-Latn-BA"/>
              </w:rPr>
              <w:t>5</w:t>
            </w:r>
          </w:p>
        </w:tc>
        <w:tc>
          <w:tcPr>
            <w:tcW w:w="4100" w:type="dxa"/>
            <w:tcBorders>
              <w:top w:val="nil"/>
              <w:left w:val="nil"/>
              <w:bottom w:val="single" w:sz="4" w:space="0" w:color="auto"/>
              <w:right w:val="single" w:sz="4" w:space="0" w:color="auto"/>
            </w:tcBorders>
            <w:shd w:val="clear" w:color="auto" w:fill="auto"/>
            <w:noWrap/>
            <w:vAlign w:val="bottom"/>
            <w:hideMark/>
          </w:tcPr>
          <w:p w14:paraId="1F4B6EE0" w14:textId="77777777" w:rsidR="00CD2E72" w:rsidRPr="00615205" w:rsidRDefault="00CD2E72" w:rsidP="00CD2E72">
            <w:pPr>
              <w:rPr>
                <w:b/>
                <w:bCs/>
                <w:color w:val="000000"/>
                <w:lang w:val="bs-Latn-BA" w:eastAsia="bs-Latn-BA"/>
              </w:rPr>
            </w:pPr>
            <w:r w:rsidRPr="00615205">
              <w:rPr>
                <w:b/>
                <w:bCs/>
                <w:color w:val="000000"/>
                <w:lang w:val="bs-Latn-BA" w:eastAsia="bs-Latn-BA"/>
              </w:rPr>
              <w:t>Monitor (</w:t>
            </w:r>
            <w:proofErr w:type="spellStart"/>
            <w:r w:rsidRPr="00615205">
              <w:rPr>
                <w:b/>
                <w:bCs/>
                <w:color w:val="000000"/>
                <w:lang w:val="bs-Latn-BA" w:eastAsia="bs-Latn-BA"/>
              </w:rPr>
              <w:t>eng</w:t>
            </w:r>
            <w:proofErr w:type="spellEnd"/>
            <w:r w:rsidRPr="00615205">
              <w:rPr>
                <w:b/>
                <w:bCs/>
                <w:color w:val="000000"/>
                <w:lang w:val="bs-Latn-BA" w:eastAsia="bs-Latn-BA"/>
              </w:rPr>
              <w:t>. Monitor)</w:t>
            </w:r>
          </w:p>
        </w:tc>
        <w:tc>
          <w:tcPr>
            <w:tcW w:w="2493" w:type="dxa"/>
            <w:tcBorders>
              <w:top w:val="nil"/>
              <w:left w:val="nil"/>
              <w:bottom w:val="single" w:sz="4" w:space="0" w:color="auto"/>
              <w:right w:val="nil"/>
            </w:tcBorders>
            <w:shd w:val="clear" w:color="auto" w:fill="auto"/>
            <w:noWrap/>
            <w:vAlign w:val="bottom"/>
            <w:hideMark/>
          </w:tcPr>
          <w:p w14:paraId="2BE944F8" w14:textId="77777777" w:rsidR="00CD2E72" w:rsidRPr="00615205" w:rsidRDefault="00CD2E72" w:rsidP="00CD2E72">
            <w:pPr>
              <w:jc w:val="right"/>
              <w:rPr>
                <w:i/>
                <w:iCs/>
                <w:color w:val="000000"/>
                <w:sz w:val="22"/>
                <w:szCs w:val="22"/>
                <w:lang w:val="bs-Latn-BA" w:eastAsia="bs-Latn-BA"/>
              </w:rPr>
            </w:pPr>
            <w:r w:rsidRPr="00615205">
              <w:rPr>
                <w:i/>
                <w:iCs/>
                <w:color w:val="000000"/>
                <w:sz w:val="22"/>
                <w:szCs w:val="22"/>
                <w:lang w:val="bs-Latn-BA" w:eastAsia="bs-Latn-BA"/>
              </w:rPr>
              <w:t>Dijagonala ekrana</w:t>
            </w:r>
          </w:p>
        </w:tc>
        <w:tc>
          <w:tcPr>
            <w:tcW w:w="606" w:type="dxa"/>
            <w:tcBorders>
              <w:top w:val="nil"/>
              <w:left w:val="double" w:sz="6" w:space="0" w:color="auto"/>
              <w:bottom w:val="single" w:sz="4" w:space="0" w:color="auto"/>
              <w:right w:val="single" w:sz="4" w:space="0" w:color="auto"/>
            </w:tcBorders>
            <w:shd w:val="clear" w:color="auto" w:fill="auto"/>
            <w:noWrap/>
            <w:vAlign w:val="bottom"/>
            <w:hideMark/>
          </w:tcPr>
          <w:p w14:paraId="2F079D69"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67" w:type="dxa"/>
            <w:tcBorders>
              <w:top w:val="nil"/>
              <w:left w:val="nil"/>
              <w:bottom w:val="single" w:sz="4" w:space="0" w:color="auto"/>
              <w:right w:val="double" w:sz="6" w:space="0" w:color="auto"/>
            </w:tcBorders>
            <w:shd w:val="clear" w:color="auto" w:fill="auto"/>
            <w:noWrap/>
            <w:vAlign w:val="bottom"/>
            <w:hideMark/>
          </w:tcPr>
          <w:p w14:paraId="522E8B47"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81" w:type="dxa"/>
            <w:tcBorders>
              <w:top w:val="nil"/>
              <w:left w:val="nil"/>
              <w:bottom w:val="single" w:sz="4" w:space="0" w:color="auto"/>
              <w:right w:val="single" w:sz="4" w:space="0" w:color="auto"/>
            </w:tcBorders>
            <w:shd w:val="clear" w:color="auto" w:fill="auto"/>
            <w:noWrap/>
            <w:vAlign w:val="bottom"/>
            <w:hideMark/>
          </w:tcPr>
          <w:p w14:paraId="5EA1FD3B"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40" w:type="dxa"/>
            <w:tcBorders>
              <w:top w:val="nil"/>
              <w:left w:val="nil"/>
              <w:bottom w:val="single" w:sz="4" w:space="0" w:color="auto"/>
              <w:right w:val="double" w:sz="6" w:space="0" w:color="auto"/>
            </w:tcBorders>
            <w:shd w:val="clear" w:color="auto" w:fill="auto"/>
            <w:noWrap/>
            <w:vAlign w:val="bottom"/>
            <w:hideMark/>
          </w:tcPr>
          <w:p w14:paraId="077CA37E"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65" w:type="dxa"/>
            <w:tcBorders>
              <w:top w:val="nil"/>
              <w:left w:val="nil"/>
              <w:bottom w:val="single" w:sz="4" w:space="0" w:color="auto"/>
              <w:right w:val="single" w:sz="4" w:space="0" w:color="auto"/>
            </w:tcBorders>
            <w:shd w:val="clear" w:color="auto" w:fill="auto"/>
            <w:noWrap/>
            <w:vAlign w:val="bottom"/>
            <w:hideMark/>
          </w:tcPr>
          <w:p w14:paraId="5398D132"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627" w:type="dxa"/>
            <w:tcBorders>
              <w:top w:val="nil"/>
              <w:left w:val="nil"/>
              <w:bottom w:val="single" w:sz="4" w:space="0" w:color="auto"/>
              <w:right w:val="double" w:sz="6" w:space="0" w:color="auto"/>
            </w:tcBorders>
            <w:shd w:val="clear" w:color="auto" w:fill="auto"/>
            <w:noWrap/>
            <w:vAlign w:val="bottom"/>
            <w:hideMark/>
          </w:tcPr>
          <w:p w14:paraId="289E3C63"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554" w:type="dxa"/>
            <w:tcBorders>
              <w:top w:val="nil"/>
              <w:left w:val="nil"/>
              <w:bottom w:val="single" w:sz="4" w:space="0" w:color="auto"/>
              <w:right w:val="single" w:sz="4" w:space="0" w:color="auto"/>
            </w:tcBorders>
            <w:shd w:val="clear" w:color="auto" w:fill="auto"/>
            <w:noWrap/>
            <w:vAlign w:val="bottom"/>
            <w:hideMark/>
          </w:tcPr>
          <w:p w14:paraId="597F77E8"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730" w:type="dxa"/>
            <w:tcBorders>
              <w:top w:val="nil"/>
              <w:left w:val="nil"/>
              <w:bottom w:val="single" w:sz="4" w:space="0" w:color="auto"/>
              <w:right w:val="double" w:sz="6" w:space="0" w:color="auto"/>
            </w:tcBorders>
            <w:shd w:val="clear" w:color="auto" w:fill="auto"/>
            <w:noWrap/>
            <w:vAlign w:val="bottom"/>
            <w:hideMark/>
          </w:tcPr>
          <w:p w14:paraId="0A27E63D"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706" w:type="dxa"/>
            <w:tcBorders>
              <w:top w:val="nil"/>
              <w:left w:val="nil"/>
              <w:bottom w:val="single" w:sz="4" w:space="0" w:color="auto"/>
              <w:right w:val="single" w:sz="4" w:space="0" w:color="auto"/>
            </w:tcBorders>
            <w:shd w:val="clear" w:color="auto" w:fill="auto"/>
            <w:noWrap/>
            <w:vAlign w:val="bottom"/>
            <w:hideMark/>
          </w:tcPr>
          <w:p w14:paraId="37B8554D"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c>
          <w:tcPr>
            <w:tcW w:w="824" w:type="dxa"/>
            <w:tcBorders>
              <w:top w:val="nil"/>
              <w:left w:val="nil"/>
              <w:bottom w:val="single" w:sz="4" w:space="0" w:color="auto"/>
              <w:right w:val="single" w:sz="4" w:space="0" w:color="auto"/>
            </w:tcBorders>
            <w:shd w:val="clear" w:color="auto" w:fill="auto"/>
            <w:noWrap/>
            <w:vAlign w:val="bottom"/>
            <w:hideMark/>
          </w:tcPr>
          <w:p w14:paraId="35AD4C15" w14:textId="77777777" w:rsidR="00CD2E72" w:rsidRPr="00615205" w:rsidRDefault="00CD2E72" w:rsidP="00CD2E72">
            <w:pPr>
              <w:rPr>
                <w:color w:val="000000"/>
                <w:sz w:val="22"/>
                <w:szCs w:val="22"/>
                <w:lang w:val="bs-Latn-BA" w:eastAsia="bs-Latn-BA"/>
              </w:rPr>
            </w:pPr>
            <w:r w:rsidRPr="00615205">
              <w:rPr>
                <w:color w:val="000000"/>
                <w:sz w:val="22"/>
                <w:szCs w:val="22"/>
                <w:lang w:val="bs-Latn-BA" w:eastAsia="bs-Latn-BA"/>
              </w:rPr>
              <w:t> </w:t>
            </w:r>
          </w:p>
        </w:tc>
      </w:tr>
    </w:tbl>
    <w:p w14:paraId="2A92FA56" w14:textId="77777777" w:rsidR="00225330" w:rsidRPr="00976042" w:rsidRDefault="00225330">
      <w:pPr>
        <w:rPr>
          <w:lang w:val="bs-Latn-BA"/>
        </w:rPr>
      </w:pPr>
    </w:p>
    <w:sectPr w:rsidR="00225330" w:rsidRPr="00976042" w:rsidSect="00E32B02">
      <w:pgSz w:w="15840" w:h="12240" w:orient="landscape"/>
      <w:pgMar w:top="1440" w:right="1440" w:bottom="1440" w:left="1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36698"/>
    <w:multiLevelType w:val="hybridMultilevel"/>
    <w:tmpl w:val="24264E16"/>
    <w:lvl w:ilvl="0" w:tplc="141A000F">
      <w:start w:val="1"/>
      <w:numFmt w:val="decimal"/>
      <w:lvlText w:val="%1."/>
      <w:lvlJc w:val="left"/>
      <w:pPr>
        <w:ind w:left="786" w:hanging="360"/>
      </w:p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1" w15:restartNumberingAfterBreak="0">
    <w:nsid w:val="318E555D"/>
    <w:multiLevelType w:val="hybridMultilevel"/>
    <w:tmpl w:val="AD460A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47694086"/>
    <w:multiLevelType w:val="hybridMultilevel"/>
    <w:tmpl w:val="08D29F74"/>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77443A7B"/>
    <w:multiLevelType w:val="hybridMultilevel"/>
    <w:tmpl w:val="A404A9D2"/>
    <w:lvl w:ilvl="0" w:tplc="36608B0C">
      <w:start w:val="4"/>
      <w:numFmt w:val="decimal"/>
      <w:lvlText w:val="%1."/>
      <w:lvlJc w:val="left"/>
      <w:pPr>
        <w:ind w:left="928"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4F"/>
    <w:rsid w:val="000D734E"/>
    <w:rsid w:val="00163585"/>
    <w:rsid w:val="00211729"/>
    <w:rsid w:val="00225330"/>
    <w:rsid w:val="002B5511"/>
    <w:rsid w:val="003329E2"/>
    <w:rsid w:val="00340449"/>
    <w:rsid w:val="0034424F"/>
    <w:rsid w:val="00372598"/>
    <w:rsid w:val="00451158"/>
    <w:rsid w:val="005A470B"/>
    <w:rsid w:val="005E4838"/>
    <w:rsid w:val="00615205"/>
    <w:rsid w:val="00644214"/>
    <w:rsid w:val="006A516C"/>
    <w:rsid w:val="006D407E"/>
    <w:rsid w:val="007C4645"/>
    <w:rsid w:val="007D0DA9"/>
    <w:rsid w:val="008218C0"/>
    <w:rsid w:val="009036C3"/>
    <w:rsid w:val="0092214C"/>
    <w:rsid w:val="00976042"/>
    <w:rsid w:val="009C7CD2"/>
    <w:rsid w:val="00A077CC"/>
    <w:rsid w:val="00A3638C"/>
    <w:rsid w:val="00A84368"/>
    <w:rsid w:val="00AA12A6"/>
    <w:rsid w:val="00AE6585"/>
    <w:rsid w:val="00B82A84"/>
    <w:rsid w:val="00B9463E"/>
    <w:rsid w:val="00B95655"/>
    <w:rsid w:val="00CC3EFA"/>
    <w:rsid w:val="00CD2E72"/>
    <w:rsid w:val="00D26CFD"/>
    <w:rsid w:val="00D521E5"/>
    <w:rsid w:val="00E32B02"/>
    <w:rsid w:val="00E41D35"/>
    <w:rsid w:val="00E5598E"/>
    <w:rsid w:val="00E7351F"/>
    <w:rsid w:val="00E76591"/>
    <w:rsid w:val="00EB65D8"/>
    <w:rsid w:val="00EE1BF5"/>
    <w:rsid w:val="00EE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7187"/>
  <w15:chartTrackingRefBased/>
  <w15:docId w15:val="{174F8F4F-4B62-45EF-9932-450E00FD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3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51F"/>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2369</Words>
  <Characters>13505</Characters>
  <Application>Microsoft Office Word</Application>
  <DocSecurity>0</DocSecurity>
  <Lines>112</Lines>
  <Paragraphs>31</Paragraphs>
  <ScaleCrop>false</ScaleCrop>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Irida Varatanović</dc:creator>
  <cp:keywords/>
  <dc:description/>
  <cp:lastModifiedBy>Irida Varatanović</cp:lastModifiedBy>
  <cp:revision>43</cp:revision>
  <dcterms:created xsi:type="dcterms:W3CDTF">2024-04-15T13:00:00Z</dcterms:created>
  <dcterms:modified xsi:type="dcterms:W3CDTF">2024-04-17T07:30:00Z</dcterms:modified>
</cp:coreProperties>
</file>